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firstLine="323" w:firstLineChars="101"/>
        <w:rPr>
          <w:rFonts w:ascii="黑体" w:hAnsi="Times New Roman" w:eastAsia="黑体" w:cs="Times New Roman"/>
          <w:b/>
          <w:bCs/>
          <w:spacing w:val="-20"/>
          <w:sz w:val="32"/>
          <w:szCs w:val="32"/>
        </w:rPr>
      </w:pPr>
      <w:r>
        <w:rPr>
          <w:rFonts w:hint="eastAsia" w:ascii="黑体" w:hAnsi="Times New Roman" w:eastAsia="黑体" w:cs="Times New Roman"/>
          <w:sz w:val="32"/>
          <w:szCs w:val="32"/>
        </w:rPr>
        <w:t xml:space="preserve">附件2  </w:t>
      </w:r>
    </w:p>
    <w:p>
      <w:pPr>
        <w:ind w:left="-359" w:leftChars="-171" w:firstLine="283" w:firstLineChars="101"/>
        <w:jc w:val="center"/>
        <w:rPr>
          <w:rFonts w:ascii="Times New Roman" w:hAnsi="Times New Roman" w:eastAsia="隶书" w:cs="Times New Roman"/>
          <w:b/>
          <w:bCs/>
          <w:spacing w:val="-20"/>
          <w:sz w:val="32"/>
          <w:szCs w:val="24"/>
        </w:rPr>
      </w:pPr>
    </w:p>
    <w:p>
      <w:pPr>
        <w:ind w:left="-359" w:leftChars="-171" w:firstLine="283" w:firstLineChars="101"/>
        <w:jc w:val="center"/>
        <w:rPr>
          <w:rFonts w:ascii="Times New Roman" w:hAnsi="Times New Roman" w:eastAsia="隶书" w:cs="Times New Roman"/>
          <w:b/>
          <w:bCs/>
          <w:spacing w:val="-20"/>
          <w:sz w:val="32"/>
          <w:szCs w:val="24"/>
        </w:rPr>
      </w:pPr>
    </w:p>
    <w:p>
      <w:pPr>
        <w:ind w:left="-359" w:leftChars="-171" w:firstLine="283" w:firstLineChars="101"/>
        <w:jc w:val="center"/>
        <w:rPr>
          <w:rFonts w:ascii="Times New Roman" w:hAnsi="Times New Roman" w:eastAsia="隶书" w:cs="Times New Roman"/>
          <w:b/>
          <w:bCs/>
          <w:spacing w:val="-20"/>
          <w:sz w:val="32"/>
          <w:szCs w:val="24"/>
        </w:rPr>
      </w:pPr>
    </w:p>
    <w:p>
      <w:pPr>
        <w:ind w:left="-359" w:leftChars="-171" w:firstLine="484" w:firstLineChars="101"/>
        <w:jc w:val="center"/>
        <w:rPr>
          <w:rFonts w:ascii="黑体" w:hAnsi="黑体" w:eastAsia="黑体" w:cs="Times New Roman"/>
          <w:bCs/>
          <w:spacing w:val="-20"/>
          <w:sz w:val="52"/>
          <w:szCs w:val="52"/>
        </w:rPr>
      </w:pPr>
      <w:r>
        <w:rPr>
          <w:rFonts w:hint="eastAsia" w:ascii="黑体" w:hAnsi="黑体" w:eastAsia="黑体" w:cs="Times New Roman"/>
          <w:bCs/>
          <w:spacing w:val="-20"/>
          <w:sz w:val="52"/>
          <w:szCs w:val="52"/>
        </w:rPr>
        <w:t>2019年甘肃省一流本科专业建设点</w:t>
      </w:r>
    </w:p>
    <w:p>
      <w:pPr>
        <w:ind w:left="-359" w:leftChars="-171" w:firstLine="525" w:firstLineChars="101"/>
        <w:jc w:val="center"/>
        <w:rPr>
          <w:rFonts w:ascii="黑体" w:hAnsi="黑体" w:eastAsia="黑体" w:cs="Times New Roman"/>
          <w:bCs/>
          <w:sz w:val="52"/>
          <w:szCs w:val="52"/>
        </w:rPr>
      </w:pPr>
      <w:r>
        <w:rPr>
          <w:rFonts w:hint="eastAsia" w:ascii="黑体" w:hAnsi="黑体" w:eastAsia="黑体" w:cs="Times New Roman"/>
          <w:bCs/>
          <w:sz w:val="52"/>
          <w:szCs w:val="52"/>
        </w:rPr>
        <w:t>信息采集表</w:t>
      </w: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ind w:firstLine="1440" w:firstLineChars="400"/>
        <w:rPr>
          <w:rFonts w:ascii="Times New Roman" w:hAnsi="Times New Roman" w:eastAsia="宋体" w:cs="Times New Roman"/>
          <w:szCs w:val="24"/>
        </w:rPr>
      </w:pPr>
      <w:r>
        <w:rPr>
          <w:rFonts w:hint="eastAsia" w:ascii="Arial" w:hAnsi="Arial" w:eastAsia="楷体_GB2312" w:cs="Times New Roman"/>
          <w:sz w:val="36"/>
          <w:szCs w:val="24"/>
        </w:rPr>
        <w:t>高校名称：</w:t>
      </w:r>
      <w:r>
        <w:rPr>
          <w:rFonts w:hint="eastAsia" w:ascii="Arial" w:hAnsi="Arial" w:eastAsia="楷体_GB2312" w:cs="Times New Roman"/>
          <w:sz w:val="36"/>
          <w:szCs w:val="24"/>
          <w:u w:val="single"/>
        </w:rPr>
        <w:t>河西学院</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主管部门：</w:t>
      </w:r>
      <w:r>
        <w:rPr>
          <w:rFonts w:hint="eastAsia" w:ascii="Arial" w:hAnsi="Arial" w:eastAsia="楷体_GB2312" w:cs="Times New Roman"/>
          <w:sz w:val="36"/>
          <w:szCs w:val="24"/>
          <w:u w:val="single"/>
        </w:rPr>
        <w:t>甘肃省教育厅</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专业名称：</w:t>
      </w:r>
      <w:r>
        <w:rPr>
          <w:rFonts w:hint="eastAsia" w:ascii="Arial" w:hAnsi="Arial" w:eastAsia="楷体_GB2312" w:cs="Times New Roman"/>
          <w:sz w:val="36"/>
          <w:szCs w:val="24"/>
          <w:u w:val="single"/>
        </w:rPr>
        <w:t>历史学</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专业代码：</w:t>
      </w:r>
      <w:r>
        <w:rPr>
          <w:rFonts w:hint="eastAsia" w:ascii="Arial" w:hAnsi="Arial" w:eastAsia="楷体_GB2312" w:cs="Times New Roman"/>
          <w:sz w:val="36"/>
          <w:szCs w:val="24"/>
          <w:u w:val="single"/>
        </w:rPr>
        <w:t>060101</w:t>
      </w:r>
    </w:p>
    <w:p>
      <w:pPr>
        <w:spacing w:line="720" w:lineRule="exact"/>
        <w:ind w:firstLine="1439" w:firstLineChars="371"/>
        <w:rPr>
          <w:rFonts w:ascii="Arial" w:hAnsi="Arial" w:eastAsia="楷体_GB2312" w:cs="Times New Roman"/>
          <w:spacing w:val="14"/>
          <w:sz w:val="36"/>
          <w:szCs w:val="24"/>
          <w:u w:val="single"/>
        </w:rPr>
      </w:pPr>
      <w:r>
        <w:rPr>
          <w:rFonts w:hint="eastAsia" w:ascii="Arial" w:hAnsi="Arial" w:eastAsia="楷体_GB2312" w:cs="Times New Roman"/>
          <w:spacing w:val="14"/>
          <w:sz w:val="36"/>
          <w:szCs w:val="24"/>
        </w:rPr>
        <w:t>专业类：</w:t>
      </w:r>
      <w:r>
        <w:rPr>
          <w:rFonts w:hint="eastAsia" w:ascii="Arial" w:hAnsi="Arial" w:eastAsia="楷体_GB2312" w:cs="Times New Roman"/>
          <w:spacing w:val="14"/>
          <w:sz w:val="36"/>
          <w:szCs w:val="24"/>
          <w:u w:val="single"/>
        </w:rPr>
        <w:t>历史学类</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专业负责人：</w:t>
      </w:r>
      <w:r>
        <w:rPr>
          <w:rFonts w:hint="eastAsia" w:ascii="Arial" w:hAnsi="Arial" w:eastAsia="楷体_GB2312" w:cs="Times New Roman"/>
          <w:sz w:val="36"/>
          <w:szCs w:val="24"/>
          <w:u w:val="single"/>
        </w:rPr>
        <w:t>高荣</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联系电话：</w:t>
      </w:r>
      <w:r>
        <w:rPr>
          <w:rFonts w:hint="eastAsia" w:ascii="Arial" w:hAnsi="Arial" w:eastAsia="楷体_GB2312" w:cs="Times New Roman"/>
          <w:sz w:val="36"/>
          <w:szCs w:val="24"/>
          <w:u w:val="single"/>
        </w:rPr>
        <w:t>18706906657</w:t>
      </w:r>
    </w:p>
    <w:p>
      <w:pPr>
        <w:spacing w:line="720" w:lineRule="exact"/>
        <w:ind w:firstLine="1760" w:firstLineChars="400"/>
        <w:rPr>
          <w:rFonts w:ascii="Arial" w:hAnsi="Arial" w:eastAsia="楷体_GB2312" w:cs="Times New Roman"/>
          <w:sz w:val="44"/>
          <w:szCs w:val="24"/>
        </w:rPr>
      </w:pPr>
    </w:p>
    <w:p>
      <w:pPr>
        <w:rPr>
          <w:rFonts w:ascii="Times New Roman" w:hAnsi="Times New Roman" w:eastAsia="宋体" w:cs="Times New Roman"/>
          <w:szCs w:val="24"/>
        </w:rPr>
      </w:pPr>
    </w:p>
    <w:p>
      <w:pPr>
        <w:jc w:val="center"/>
        <w:rPr>
          <w:rFonts w:ascii="Arial" w:hAnsi="Arial" w:eastAsia="楷体_GB2312" w:cs="Times New Roman"/>
          <w:sz w:val="36"/>
          <w:szCs w:val="24"/>
        </w:rPr>
      </w:pPr>
      <w:r>
        <w:rPr>
          <w:rFonts w:hint="eastAsia" w:ascii="Arial" w:hAnsi="Arial" w:eastAsia="楷体_GB2312" w:cs="Times New Roman"/>
          <w:sz w:val="36"/>
          <w:szCs w:val="24"/>
        </w:rPr>
        <w:t>甘肃省教育厅制</w:t>
      </w:r>
    </w:p>
    <w:p>
      <w:pPr>
        <w:jc w:val="center"/>
        <w:rPr>
          <w:rFonts w:ascii="Arial" w:hAnsi="Arial" w:eastAsia="楷体_GB2312" w:cs="Times New Roman"/>
          <w:sz w:val="36"/>
          <w:szCs w:val="24"/>
        </w:rPr>
      </w:pPr>
      <w:r>
        <w:rPr>
          <w:rFonts w:ascii="Arial" w:hAnsi="Arial" w:eastAsia="楷体_GB2312" w:cs="Times New Roman"/>
          <w:sz w:val="36"/>
          <w:szCs w:val="24"/>
        </w:rPr>
        <w:br w:type="page"/>
      </w:r>
    </w:p>
    <w:p>
      <w:pPr>
        <w:jc w:val="center"/>
        <w:rPr>
          <w:rFonts w:ascii="黑体" w:hAnsi="Arial" w:eastAsia="黑体" w:cs="Times New Roman"/>
          <w:bCs/>
          <w:spacing w:val="100"/>
          <w:sz w:val="36"/>
          <w:szCs w:val="36"/>
        </w:rPr>
      </w:pPr>
      <w:r>
        <w:rPr>
          <w:rFonts w:hint="eastAsia" w:ascii="黑体" w:hAnsi="Arial" w:eastAsia="黑体" w:cs="Times New Roman"/>
          <w:bCs/>
          <w:spacing w:val="100"/>
          <w:sz w:val="36"/>
          <w:szCs w:val="36"/>
        </w:rPr>
        <w:t>填表说明</w:t>
      </w:r>
    </w:p>
    <w:p>
      <w:pPr>
        <w:jc w:val="center"/>
        <w:rPr>
          <w:rFonts w:ascii="仿宋_GB2312" w:hAnsi="Arial" w:eastAsia="仿宋_GB2312" w:cs="Times New Roman"/>
          <w:spacing w:val="100"/>
          <w:sz w:val="32"/>
          <w:szCs w:val="32"/>
        </w:rPr>
      </w:pP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1.采集表填写内容必须实事求是，表达准确严谨。填报内容不得有空缺项，如无内容应填“无”。</w:t>
      </w:r>
    </w:p>
    <w:p>
      <w:pPr>
        <w:ind w:firstLine="640" w:firstLineChars="200"/>
        <w:rPr>
          <w:rFonts w:ascii="仿宋" w:hAnsi="仿宋" w:eastAsia="仿宋"/>
          <w:sz w:val="32"/>
          <w:szCs w:val="32"/>
        </w:rPr>
      </w:pPr>
      <w:r>
        <w:rPr>
          <w:rFonts w:hint="eastAsia" w:ascii="仿宋" w:hAnsi="仿宋" w:eastAsia="仿宋"/>
          <w:sz w:val="32"/>
          <w:szCs w:val="32"/>
        </w:rPr>
        <w:t>2.采集表须</w:t>
      </w:r>
      <w:r>
        <w:rPr>
          <w:rFonts w:ascii="仿宋" w:hAnsi="仿宋" w:eastAsia="仿宋"/>
          <w:sz w:val="32"/>
          <w:szCs w:val="32"/>
        </w:rPr>
        <w:t>填写</w:t>
      </w:r>
      <w:r>
        <w:rPr>
          <w:rFonts w:hint="eastAsia" w:ascii="仿宋" w:hAnsi="仿宋" w:eastAsia="仿宋"/>
          <w:sz w:val="32"/>
          <w:szCs w:val="32"/>
        </w:rPr>
        <w:t>电子版，并</w:t>
      </w:r>
      <w:r>
        <w:rPr>
          <w:rFonts w:hint="eastAsia" w:ascii="仿宋" w:hAnsi="仿宋" w:eastAsia="仿宋" w:cs="Times New Roman"/>
          <w:sz w:val="32"/>
          <w:szCs w:val="32"/>
        </w:rPr>
        <w:t>提交至评审网页</w:t>
      </w:r>
      <w:r>
        <w:rPr>
          <w:rFonts w:hint="eastAsia" w:ascii="仿宋" w:hAnsi="仿宋" w:eastAsia="仿宋"/>
          <w:sz w:val="32"/>
          <w:szCs w:val="32"/>
        </w:rPr>
        <w:t>。</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3.专业</w:t>
      </w:r>
      <w:r>
        <w:rPr>
          <w:rFonts w:ascii="仿宋" w:hAnsi="仿宋" w:eastAsia="仿宋" w:cs="Times New Roman"/>
          <w:sz w:val="32"/>
          <w:szCs w:val="32"/>
        </w:rPr>
        <w:t>人才培养方案作为</w:t>
      </w:r>
      <w:r>
        <w:rPr>
          <w:rFonts w:hint="eastAsia" w:ascii="仿宋" w:hAnsi="仿宋" w:eastAsia="仿宋" w:cs="Times New Roman"/>
          <w:sz w:val="32"/>
          <w:szCs w:val="32"/>
        </w:rPr>
        <w:t>佐证材料</w:t>
      </w:r>
      <w:r>
        <w:rPr>
          <w:rFonts w:ascii="仿宋" w:hAnsi="仿宋" w:eastAsia="仿宋" w:cs="Times New Roman"/>
          <w:sz w:val="32"/>
          <w:szCs w:val="32"/>
        </w:rPr>
        <w:t>在申报</w:t>
      </w:r>
      <w:r>
        <w:rPr>
          <w:rFonts w:hint="eastAsia" w:ascii="仿宋" w:hAnsi="仿宋" w:eastAsia="仿宋" w:cs="Times New Roman"/>
          <w:sz w:val="32"/>
          <w:szCs w:val="32"/>
        </w:rPr>
        <w:t>时一并</w:t>
      </w:r>
      <w:r>
        <w:rPr>
          <w:rFonts w:ascii="仿宋" w:hAnsi="仿宋" w:eastAsia="仿宋" w:cs="Times New Roman"/>
          <w:sz w:val="32"/>
          <w:szCs w:val="32"/>
        </w:rPr>
        <w:t>提交。</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4.报送单位在高校评审推荐后，将信息表和汇总表打印，加盖公章后，于6月10日前报送省教育厅。</w:t>
      </w: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spacing w:line="440" w:lineRule="exact"/>
        <w:rPr>
          <w:rFonts w:ascii="Arial" w:hAnsi="Arial" w:eastAsia="楷体_GB2312" w:cs="Times New Roman"/>
          <w:sz w:val="36"/>
          <w:szCs w:val="24"/>
        </w:rPr>
      </w:pPr>
      <w:r>
        <w:rPr>
          <w:rFonts w:ascii="宋体" w:hAnsi="宋体" w:eastAsia="宋体" w:cs="宋体"/>
          <w:sz w:val="30"/>
          <w:szCs w:val="30"/>
        </w:rPr>
        <w:br w:type="page"/>
      </w:r>
    </w:p>
    <w:p>
      <w:pPr>
        <w:spacing w:line="440" w:lineRule="exact"/>
        <w:jc w:val="center"/>
        <w:rPr>
          <w:rFonts w:ascii="黑体" w:hAnsi="Times New Roman" w:eastAsia="黑体" w:cs="Times New Roman"/>
          <w:bCs/>
          <w:sz w:val="36"/>
          <w:szCs w:val="36"/>
        </w:rPr>
      </w:pPr>
    </w:p>
    <w:p>
      <w:pPr>
        <w:spacing w:line="440" w:lineRule="exact"/>
        <w:jc w:val="center"/>
        <w:rPr>
          <w:rFonts w:ascii="方正小标宋简体" w:hAnsi="Times New Roman" w:eastAsia="方正小标宋简体" w:cs="Times New Roman"/>
          <w:bCs/>
          <w:sz w:val="36"/>
          <w:szCs w:val="36"/>
        </w:rPr>
      </w:pPr>
      <w:r>
        <w:rPr>
          <w:rFonts w:hint="eastAsia" w:ascii="方正小标宋简体" w:hAnsi="Times New Roman" w:eastAsia="方正小标宋简体" w:cs="Times New Roman"/>
          <w:bCs/>
          <w:sz w:val="36"/>
          <w:szCs w:val="36"/>
        </w:rPr>
        <w:t>目    录</w:t>
      </w:r>
    </w:p>
    <w:p>
      <w:pPr>
        <w:spacing w:line="360" w:lineRule="auto"/>
        <w:rPr>
          <w:rFonts w:ascii="仿宋_GB2312" w:hAnsi="Times New Roman" w:eastAsia="仿宋_GB2312" w:cs="Times New Roman"/>
          <w:sz w:val="32"/>
          <w:szCs w:val="24"/>
        </w:rPr>
      </w:pP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一、所在高校基本情况</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二、报送专业情况</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1.专业基本情况</w:t>
      </w:r>
    </w:p>
    <w:p>
      <w:pPr>
        <w:spacing w:line="360" w:lineRule="auto"/>
        <w:ind w:firstLine="640" w:firstLineChars="200"/>
        <w:rPr>
          <w:rFonts w:ascii="仿宋_GB2312" w:hAnsi="仿宋" w:eastAsia="仿宋_GB2312" w:cs="Times New Roman"/>
          <w:bCs/>
          <w:spacing w:val="20"/>
          <w:sz w:val="32"/>
          <w:szCs w:val="32"/>
        </w:rPr>
      </w:pPr>
      <w:r>
        <w:rPr>
          <w:rFonts w:hint="eastAsia" w:ascii="仿宋_GB2312" w:hAnsi="仿宋" w:eastAsia="仿宋_GB2312" w:cs="Times New Roman"/>
          <w:sz w:val="32"/>
          <w:szCs w:val="32"/>
        </w:rPr>
        <w:t>2</w:t>
      </w:r>
      <w:r>
        <w:rPr>
          <w:rFonts w:hint="eastAsia" w:ascii="仿宋_GB2312" w:hAnsi="仿宋" w:eastAsia="仿宋_GB2312" w:cs="Times New Roman"/>
          <w:bCs/>
          <w:sz w:val="32"/>
          <w:szCs w:val="32"/>
        </w:rPr>
        <w:t>.专业负责人基本情况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3.近3年本专业毕业生就业（升学）情况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4.近3年本专业获省部级及以上奖励和支持情况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5.专业定位、历史沿革和特色优势</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6.深化专业综合改革的主要措施和成效</w:t>
      </w:r>
    </w:p>
    <w:p>
      <w:pPr>
        <w:spacing w:line="360" w:lineRule="auto"/>
        <w:ind w:firstLine="640" w:firstLineChars="200"/>
        <w:rPr>
          <w:rFonts w:ascii="仿宋_GB2312" w:hAnsi="仿宋" w:eastAsia="仿宋_GB2312" w:cs="Times New Roman"/>
          <w:bCs/>
          <w:kern w:val="0"/>
          <w:sz w:val="32"/>
          <w:szCs w:val="32"/>
        </w:rPr>
      </w:pPr>
      <w:r>
        <w:rPr>
          <w:rFonts w:hint="eastAsia" w:ascii="仿宋_GB2312" w:hAnsi="仿宋" w:eastAsia="仿宋_GB2312" w:cs="Times New Roman"/>
          <w:bCs/>
          <w:kern w:val="0"/>
          <w:sz w:val="32"/>
          <w:szCs w:val="32"/>
        </w:rPr>
        <w:t>7.加强师资队伍和基层教学组织建设的主要举措</w:t>
      </w:r>
      <w:r>
        <w:rPr>
          <w:rFonts w:ascii="仿宋_GB2312" w:hAnsi="仿宋" w:eastAsia="仿宋_GB2312" w:cs="Times New Roman"/>
          <w:bCs/>
          <w:kern w:val="0"/>
          <w:sz w:val="32"/>
          <w:szCs w:val="32"/>
        </w:rPr>
        <w:t>及</w:t>
      </w:r>
      <w:r>
        <w:rPr>
          <w:rFonts w:hint="eastAsia" w:ascii="仿宋_GB2312" w:hAnsi="仿宋" w:eastAsia="仿宋_GB2312" w:cs="Times New Roman"/>
          <w:bCs/>
          <w:kern w:val="0"/>
          <w:sz w:val="32"/>
          <w:szCs w:val="32"/>
        </w:rPr>
        <w:t>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kern w:val="0"/>
          <w:sz w:val="32"/>
          <w:szCs w:val="32"/>
        </w:rPr>
        <w:t>8.加强专业教学质量保障体系建设的主要举措和成效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9.毕业生培养质量的跟踪调查结果和外部评价</w:t>
      </w:r>
    </w:p>
    <w:p>
      <w:pPr>
        <w:spacing w:line="360" w:lineRule="auto"/>
        <w:ind w:firstLine="640" w:firstLineChars="200"/>
        <w:rPr>
          <w:rFonts w:ascii="仿宋_GB2312" w:hAnsi="仿宋" w:eastAsia="仿宋_GB2312" w:cs="Times New Roman"/>
          <w:bCs/>
          <w:sz w:val="32"/>
          <w:szCs w:val="32"/>
        </w:rPr>
      </w:pPr>
      <w:r>
        <w:rPr>
          <w:rFonts w:hint="eastAsia" w:ascii="黑体" w:hAnsi="黑体" w:eastAsia="黑体" w:cs="黑体"/>
          <w:sz w:val="32"/>
          <w:szCs w:val="32"/>
        </w:rPr>
        <w:t>三、下一步推进专业建设和改革的主要思路及举措</w:t>
      </w:r>
    </w:p>
    <w:p>
      <w:pPr>
        <w:rPr>
          <w:rFonts w:ascii="黑体" w:hAnsi="黑体" w:eastAsia="黑体" w:cs="Times New Roman"/>
          <w:sz w:val="32"/>
          <w:szCs w:val="32"/>
        </w:rPr>
      </w:pPr>
      <w:r>
        <w:rPr>
          <w:rFonts w:hint="eastAsia" w:ascii="仿宋_GB2312" w:hAnsi="黑体" w:eastAsia="仿宋_GB2312" w:cs="Times New Roman"/>
          <w:bCs/>
          <w:sz w:val="36"/>
          <w:szCs w:val="36"/>
        </w:rPr>
        <w:br w:type="page"/>
      </w:r>
      <w:r>
        <w:rPr>
          <w:rFonts w:hint="eastAsia" w:ascii="黑体" w:hAnsi="黑体" w:eastAsia="黑体" w:cs="Times New Roman"/>
          <w:sz w:val="32"/>
          <w:szCs w:val="32"/>
        </w:rPr>
        <w:t>一、所在高校基本情况</w:t>
      </w:r>
    </w:p>
    <w:tbl>
      <w:tblPr>
        <w:tblStyle w:val="5"/>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708"/>
        <w:gridCol w:w="478"/>
        <w:gridCol w:w="3549"/>
        <w:gridCol w:w="375"/>
        <w:gridCol w:w="115"/>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学校名称</w:t>
            </w:r>
          </w:p>
        </w:tc>
        <w:tc>
          <w:tcPr>
            <w:tcW w:w="1186" w:type="dxa"/>
            <w:gridSpan w:val="2"/>
            <w:vAlign w:val="center"/>
          </w:tcPr>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河西学院</w:t>
            </w:r>
          </w:p>
        </w:tc>
        <w:tc>
          <w:tcPr>
            <w:tcW w:w="3549"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学校代码</w:t>
            </w:r>
          </w:p>
        </w:tc>
        <w:tc>
          <w:tcPr>
            <w:tcW w:w="1651" w:type="dxa"/>
            <w:gridSpan w:val="3"/>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62740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Merge w:val="restart"/>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学校办学</w:t>
            </w:r>
          </w:p>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基本类型</w:t>
            </w:r>
          </w:p>
        </w:tc>
        <w:tc>
          <w:tcPr>
            <w:tcW w:w="6386" w:type="dxa"/>
            <w:gridSpan w:val="6"/>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□部委院校  </w:t>
            </w:r>
            <w:r>
              <w:rPr>
                <w:rFonts w:ascii="Times New Roman" w:hAnsi="Times New Roman" w:eastAsia="仿宋_GB2312" w:cs="Times New Roman"/>
                <w:sz w:val="24"/>
                <w:szCs w:val="24"/>
              </w:rPr>
              <w:sym w:font="Wingdings 2" w:char="0052"/>
            </w:r>
            <w:r>
              <w:rPr>
                <w:rFonts w:ascii="Times New Roman" w:hAnsi="Times New Roman" w:eastAsia="仿宋_GB2312" w:cs="Times New Roman"/>
                <w:sz w:val="24"/>
                <w:szCs w:val="24"/>
              </w:rPr>
              <w:t>地方院校 □</w:t>
            </w:r>
            <w:r>
              <w:rPr>
                <w:rFonts w:hint="eastAsia" w:ascii="Times New Roman" w:hAnsi="Times New Roman" w:eastAsia="仿宋_GB2312" w:cs="Times New Roman"/>
                <w:sz w:val="24"/>
                <w:szCs w:val="24"/>
              </w:rPr>
              <w:t>部省</w:t>
            </w:r>
            <w:r>
              <w:rPr>
                <w:rFonts w:ascii="Times New Roman" w:hAnsi="Times New Roman" w:eastAsia="仿宋_GB2312" w:cs="Times New Roman"/>
                <w:sz w:val="24"/>
                <w:szCs w:val="24"/>
              </w:rPr>
              <w:t>合建高校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Merge w:val="continue"/>
          </w:tcPr>
          <w:p>
            <w:pPr>
              <w:spacing w:line="360" w:lineRule="auto"/>
              <w:rPr>
                <w:rFonts w:ascii="Times New Roman" w:hAnsi="Times New Roman" w:eastAsia="仿宋_GB2312" w:cs="Times New Roman"/>
                <w:sz w:val="24"/>
                <w:szCs w:val="24"/>
              </w:rPr>
            </w:pPr>
          </w:p>
        </w:tc>
        <w:tc>
          <w:tcPr>
            <w:tcW w:w="6386" w:type="dxa"/>
            <w:gridSpan w:val="6"/>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sym w:font="Wingdings 2" w:char="0052"/>
            </w:r>
            <w:r>
              <w:rPr>
                <w:rFonts w:ascii="Times New Roman" w:hAnsi="Times New Roman" w:eastAsia="仿宋_GB2312" w:cs="Times New Roman"/>
                <w:sz w:val="24"/>
                <w:szCs w:val="24"/>
              </w:rPr>
              <w:t>公办  □民办  □中外合作办学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在校本科生总数</w:t>
            </w:r>
          </w:p>
        </w:tc>
        <w:tc>
          <w:tcPr>
            <w:tcW w:w="1186" w:type="dxa"/>
            <w:gridSpan w:val="2"/>
            <w:vAlign w:val="center"/>
          </w:tcPr>
          <w:p>
            <w:pPr>
              <w:spacing w:line="360" w:lineRule="auto"/>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c>
          <w:tcPr>
            <w:tcW w:w="4039" w:type="dxa"/>
            <w:gridSpan w:val="3"/>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近3</w:t>
            </w:r>
            <w:r>
              <w:rPr>
                <w:rFonts w:ascii="Times New Roman" w:hAnsi="Times New Roman" w:eastAsia="仿宋_GB2312" w:cs="Times New Roman"/>
                <w:sz w:val="24"/>
                <w:szCs w:val="24"/>
              </w:rPr>
              <w:t>年年均本科招生数</w:t>
            </w:r>
          </w:p>
        </w:tc>
        <w:tc>
          <w:tcPr>
            <w:tcW w:w="1161" w:type="dxa"/>
            <w:vAlign w:val="center"/>
          </w:tcPr>
          <w:p>
            <w:pPr>
              <w:spacing w:line="360" w:lineRule="auto"/>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专任教师总数</w:t>
            </w:r>
          </w:p>
        </w:tc>
        <w:tc>
          <w:tcPr>
            <w:tcW w:w="1186" w:type="dxa"/>
            <w:gridSpan w:val="2"/>
            <w:vAlign w:val="center"/>
          </w:tcPr>
          <w:p>
            <w:pPr>
              <w:spacing w:line="320" w:lineRule="exact"/>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c>
          <w:tcPr>
            <w:tcW w:w="4039" w:type="dxa"/>
            <w:gridSpan w:val="3"/>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专任教师中副教授及以上职称比例</w:t>
            </w:r>
          </w:p>
        </w:tc>
        <w:tc>
          <w:tcPr>
            <w:tcW w:w="1161" w:type="dxa"/>
            <w:vAlign w:val="center"/>
          </w:tcPr>
          <w:p>
            <w:pPr>
              <w:spacing w:line="360" w:lineRule="auto"/>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生师比</w:t>
            </w:r>
          </w:p>
        </w:tc>
        <w:tc>
          <w:tcPr>
            <w:tcW w:w="1186" w:type="dxa"/>
            <w:gridSpan w:val="2"/>
            <w:vAlign w:val="center"/>
          </w:tcPr>
          <w:p>
            <w:pPr>
              <w:spacing w:line="320" w:lineRule="exact"/>
              <w:jc w:val="center"/>
              <w:rPr>
                <w:rFonts w:ascii="Times New Roman" w:hAnsi="Times New Roman" w:eastAsia="仿宋_GB2312" w:cs="Times New Roman"/>
                <w:sz w:val="24"/>
                <w:szCs w:val="24"/>
              </w:rPr>
            </w:pPr>
          </w:p>
        </w:tc>
        <w:tc>
          <w:tcPr>
            <w:tcW w:w="4039" w:type="dxa"/>
            <w:gridSpan w:val="3"/>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具有硕博士学位教师占专任教师比例</w:t>
            </w:r>
          </w:p>
        </w:tc>
        <w:tc>
          <w:tcPr>
            <w:tcW w:w="1161" w:type="dxa"/>
            <w:vAlign w:val="center"/>
          </w:tcPr>
          <w:p>
            <w:pPr>
              <w:spacing w:line="360" w:lineRule="auto"/>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1" w:hRule="atLeast"/>
        </w:trPr>
        <w:tc>
          <w:tcPr>
            <w:tcW w:w="1973" w:type="dxa"/>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推进高水平本科建设整体情况</w:t>
            </w:r>
          </w:p>
        </w:tc>
        <w:tc>
          <w:tcPr>
            <w:tcW w:w="6386" w:type="dxa"/>
            <w:gridSpan w:val="6"/>
          </w:tcPr>
          <w:p>
            <w:pPr>
              <w:spacing w:line="360" w:lineRule="auto"/>
              <w:jc w:val="left"/>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落实</w:t>
            </w:r>
            <w:r>
              <w:rPr>
                <w:rFonts w:hint="eastAsia" w:ascii="仿宋" w:hAnsi="仿宋" w:eastAsia="仿宋" w:cs="Times New Roman"/>
                <w:sz w:val="24"/>
                <w:szCs w:val="24"/>
              </w:rPr>
              <w:t>“以本为本、四个回归”、推进“四新”建设、完善协同育人和实践教学机制、</w:t>
            </w:r>
            <w:r>
              <w:rPr>
                <w:rFonts w:ascii="仿宋" w:hAnsi="仿宋" w:eastAsia="仿宋" w:cs="Times New Roman"/>
                <w:sz w:val="24"/>
                <w:szCs w:val="24"/>
              </w:rPr>
              <w:t>培育以人才培养为中心的</w:t>
            </w:r>
            <w:r>
              <w:rPr>
                <w:rFonts w:hint="eastAsia" w:ascii="仿宋" w:hAnsi="仿宋" w:eastAsia="仿宋" w:cs="Times New Roman"/>
                <w:sz w:val="24"/>
                <w:szCs w:val="24"/>
              </w:rPr>
              <w:t>质量文化等</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1200字以内</w:t>
            </w:r>
            <w:r>
              <w:rPr>
                <w:rFonts w:hint="eastAsia" w:ascii="仿宋" w:hAnsi="仿宋" w:eastAsia="仿宋" w:cs="Times New Roman"/>
                <w:sz w:val="24"/>
                <w:szCs w:val="24"/>
              </w:rPr>
              <w:t>）</w:t>
            </w:r>
          </w:p>
          <w:p>
            <w:pPr>
              <w:spacing w:line="360" w:lineRule="auto"/>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为推进高水平本科建设，河西学院经党委研究，制订了《河西学院加强一流本科建设提高人才培养能力行动计划》，并于2019年4月19日到20日召开了全校在职教师参加的河西学院新时代本科教育工作会，进行了讨论、学习和部署。建设情况主要分如下几个方面：</w:t>
            </w:r>
          </w:p>
          <w:p>
            <w:pPr>
              <w:spacing w:line="360" w:lineRule="auto"/>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1.学校着力落实“一流本科”教育体系建设计划。树立“以本为本”的教育理念，真正把本科教育聚焦到人才培养的质量和效果上来，积极推进“四个回归”，全面落实立德树人根本任务。</w:t>
            </w:r>
          </w:p>
          <w:p>
            <w:pPr>
              <w:spacing w:line="360" w:lineRule="auto"/>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强化优势特色专业建设。学校制订了《河西学院“一流专业”建设实施方案》，重点支持15-20个基础条件好、人才需求大、发展后劲足的专业，建设成为省级或国家一流本科专业。优化调整专业结构，撤销部分不适合区域经济社会发展的专业，加强新文科建设，密切联系地方文化教育发展需要，推动人文社会科学与新一轮科技革命和产业革命相融合。</w:t>
            </w:r>
          </w:p>
          <w:p>
            <w:pPr>
              <w:spacing w:line="360" w:lineRule="auto"/>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强化课程建设打造金课。学校制订了《河西学院“一流课程”建设实施方案》，重点支持自主建设和引进使用一批优秀课程、精品在线开放课程和虚拟仿真实验教学项目，注重提升课程的高价性、创新性和挑战度，力争建成3-5门国家级“金课”、20-30门省级“金课”，形成本校优质课程资源和泛在化学习新环境。</w:t>
            </w:r>
          </w:p>
          <w:p>
            <w:pPr>
              <w:spacing w:line="360" w:lineRule="auto"/>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优化师资队伍结构。制订优惠政策，大力引进拥有博士学位教师，提高了博士学位教师占专任教师的比例。从专业师资队伍数量和结构、教师学科专业背景和水平、教师教学发展和条件等方面优化教师队伍建设，取得了良好成效，生师比基本能达到18:1的办学条件要求。</w:t>
            </w:r>
          </w:p>
          <w:p>
            <w:pPr>
              <w:spacing w:line="360" w:lineRule="auto"/>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5.加强师德师风建设。制订了《河西学院建立健全师德建设长期机制的实施方案》落实师德师风建设，提高了广大教师以德立身、一德立学、以德施教的自觉性和意识。</w:t>
            </w:r>
          </w:p>
          <w:p>
            <w:pPr>
              <w:spacing w:line="360" w:lineRule="auto"/>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加大教学基础条件建设投入，大力改善教学环境和实验实践教学条件，以具有现代化要求为指引，加快信息化教学条件建设与教学环境创新进程，搭建信息化教与学的智能环境和智慧平台，形成“互联网+高等教育”的新形态。目前进展顺利。</w:t>
            </w:r>
          </w:p>
          <w:p>
            <w:pPr>
              <w:spacing w:line="360" w:lineRule="auto"/>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7.完善产学合作协同育人机制。积极争取各种社会资源，综合运用校内外资源，加强协同创新，推进与行业部门、企业共同建设协同育人基地。</w:t>
            </w:r>
          </w:p>
          <w:p>
            <w:pPr>
              <w:spacing w:line="360" w:lineRule="auto"/>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强化实践育人能力建设。加强实践教学平台和实践基地建设，深化实践教学改革，着力培养学生的实践能力。经过多年努力和建设，已与新疆建立了稳固的支教实习基地。与河西五市多数县建立了长城博物馆、艾黎博物馆、高台红西路军纪念馆、张掖丹霞国家地质公园等多个实践教学基地。</w:t>
            </w:r>
          </w:p>
          <w:p>
            <w:pPr>
              <w:spacing w:line="360" w:lineRule="auto"/>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9.深化创新创业教育改革。建立健全创新、创业教育体系，改革教学和管理，建设了学校创新创业教育中心，着力提升学生的创新精神、创业意识和创新能力。</w:t>
            </w:r>
          </w:p>
          <w:p>
            <w:pPr>
              <w:spacing w:line="360" w:lineRule="auto"/>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10.严格过程管理，强化管理育人。修订完善各项教学管理制度，强化教学管理，规范本科教学秩序，严格过程考核，形成了依法依规，宽严相济、科学管用的管理制度体系。</w:t>
            </w:r>
          </w:p>
          <w:p>
            <w:pPr>
              <w:spacing w:line="360" w:lineRule="auto"/>
              <w:ind w:firstLine="480" w:firstLineChars="200"/>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973" w:type="dxa"/>
            <w:vMerge w:val="restart"/>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学校关于本科</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人才培养的重要</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政策文件</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（限</w:t>
            </w:r>
            <w:r>
              <w:rPr>
                <w:rFonts w:ascii="Times New Roman" w:hAnsi="Times New Roman" w:eastAsia="仿宋_GB2312" w:cs="Times New Roman"/>
                <w:sz w:val="24"/>
                <w:szCs w:val="24"/>
              </w:rPr>
              <w:t>10项</w:t>
            </w:r>
            <w:r>
              <w:rPr>
                <w:rFonts w:hint="eastAsia" w:ascii="Times New Roman" w:hAnsi="Times New Roman" w:eastAsia="仿宋_GB2312" w:cs="Times New Roman"/>
                <w:sz w:val="24"/>
                <w:szCs w:val="24"/>
              </w:rPr>
              <w:t>）</w:t>
            </w: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4402" w:type="dxa"/>
            <w:gridSpan w:val="3"/>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文件名称</w:t>
            </w:r>
          </w:p>
        </w:tc>
        <w:tc>
          <w:tcPr>
            <w:tcW w:w="1276" w:type="dxa"/>
            <w:gridSpan w:val="2"/>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印发时间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4402" w:type="dxa"/>
            <w:gridSpan w:val="3"/>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《河西学院加强一流本科建设提高人才培养能力行动计划》</w:t>
            </w:r>
          </w:p>
        </w:tc>
        <w:tc>
          <w:tcPr>
            <w:tcW w:w="1276" w:type="dxa"/>
            <w:gridSpan w:val="2"/>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2019年4月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4402" w:type="dxa"/>
            <w:gridSpan w:val="3"/>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《河西学院“一流专业”建设实施方案》</w:t>
            </w:r>
          </w:p>
        </w:tc>
        <w:tc>
          <w:tcPr>
            <w:tcW w:w="1276" w:type="dxa"/>
            <w:gridSpan w:val="2"/>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2019年4月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c>
          <w:tcPr>
            <w:tcW w:w="4402" w:type="dxa"/>
            <w:gridSpan w:val="3"/>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《河西学院“一流课程”建设实施方案》</w:t>
            </w:r>
          </w:p>
        </w:tc>
        <w:tc>
          <w:tcPr>
            <w:tcW w:w="1276" w:type="dxa"/>
            <w:gridSpan w:val="2"/>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2019年4月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4402" w:type="dxa"/>
            <w:gridSpan w:val="3"/>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《河西学院建立健全师德建设长期机制的实施方案》</w:t>
            </w:r>
          </w:p>
        </w:tc>
        <w:tc>
          <w:tcPr>
            <w:tcW w:w="1276" w:type="dxa"/>
            <w:gridSpan w:val="2"/>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2019年4月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4402" w:type="dxa"/>
            <w:gridSpan w:val="3"/>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《河西学院本科人才培养方案（2019版）修订指导意见》</w:t>
            </w:r>
          </w:p>
        </w:tc>
        <w:tc>
          <w:tcPr>
            <w:tcW w:w="1276" w:type="dxa"/>
            <w:gridSpan w:val="2"/>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2019年4月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p>
        </w:tc>
        <w:tc>
          <w:tcPr>
            <w:tcW w:w="4402" w:type="dxa"/>
            <w:gridSpan w:val="3"/>
          </w:tcPr>
          <w:p>
            <w:pPr>
              <w:spacing w:line="360" w:lineRule="auto"/>
              <w:jc w:val="center"/>
              <w:rPr>
                <w:rFonts w:ascii="Times New Roman" w:hAnsi="Times New Roman" w:eastAsia="仿宋_GB2312" w:cs="Times New Roman"/>
                <w:sz w:val="24"/>
                <w:szCs w:val="24"/>
              </w:rPr>
            </w:pPr>
          </w:p>
        </w:tc>
        <w:tc>
          <w:tcPr>
            <w:tcW w:w="1276" w:type="dxa"/>
            <w:gridSpan w:val="2"/>
          </w:tcPr>
          <w:p>
            <w:pPr>
              <w:spacing w:line="360" w:lineRule="auto"/>
              <w:jc w:val="center"/>
              <w:rPr>
                <w:rFonts w:ascii="Times New Roman" w:hAnsi="Times New Roman" w:eastAsia="仿宋_GB2312" w:cs="Times New Roman"/>
                <w:sz w:val="24"/>
                <w:szCs w:val="24"/>
              </w:rPr>
            </w:pPr>
          </w:p>
        </w:tc>
      </w:tr>
    </w:tbl>
    <w:p>
      <w:pPr>
        <w:rPr>
          <w:rFonts w:ascii="黑体" w:hAnsi="黑体" w:eastAsia="黑体" w:cs="Times New Roman"/>
          <w:bCs/>
          <w:sz w:val="32"/>
          <w:szCs w:val="32"/>
        </w:rPr>
      </w:pPr>
      <w:r>
        <w:rPr>
          <w:rFonts w:ascii="黑体" w:hAnsi="黑体" w:eastAsia="黑体" w:cs="Times New Roman"/>
          <w:sz w:val="36"/>
          <w:szCs w:val="36"/>
        </w:rPr>
        <w:br w:type="page"/>
      </w:r>
      <w:r>
        <w:rPr>
          <w:rFonts w:hint="eastAsia" w:ascii="黑体" w:hAnsi="黑体" w:eastAsia="黑体" w:cs="Times New Roman"/>
          <w:sz w:val="32"/>
          <w:szCs w:val="32"/>
        </w:rPr>
        <w:t>二、</w:t>
      </w:r>
      <w:r>
        <w:rPr>
          <w:rFonts w:hint="eastAsia" w:ascii="黑体" w:hAnsi="黑体" w:eastAsia="黑体" w:cs="Times New Roman"/>
          <w:bCs/>
          <w:sz w:val="32"/>
          <w:szCs w:val="32"/>
        </w:rPr>
        <w:t>报送专业情况</w:t>
      </w:r>
    </w:p>
    <w:p>
      <w:pPr>
        <w:rPr>
          <w:rFonts w:ascii="楷体" w:hAnsi="楷体" w:eastAsia="楷体" w:cs="Times New Roman"/>
          <w:b/>
          <w:sz w:val="32"/>
          <w:szCs w:val="32"/>
        </w:rPr>
      </w:pPr>
      <w:r>
        <w:rPr>
          <w:rFonts w:hint="eastAsia" w:ascii="楷体" w:hAnsi="楷体" w:eastAsia="楷体" w:cs="Times New Roman"/>
          <w:b/>
          <w:sz w:val="32"/>
          <w:szCs w:val="32"/>
        </w:rPr>
        <w:t>1.专业基本情况</w:t>
      </w:r>
    </w:p>
    <w:tbl>
      <w:tblPr>
        <w:tblStyle w:val="5"/>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735"/>
        <w:gridCol w:w="2453"/>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专业名称</w:t>
            </w:r>
          </w:p>
        </w:tc>
        <w:tc>
          <w:tcPr>
            <w:tcW w:w="173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历史学</w:t>
            </w: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专业代码</w:t>
            </w:r>
          </w:p>
        </w:tc>
        <w:tc>
          <w:tcPr>
            <w:tcW w:w="194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060101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修业年限</w:t>
            </w:r>
          </w:p>
        </w:tc>
        <w:tc>
          <w:tcPr>
            <w:tcW w:w="173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4年</w:t>
            </w: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学位授予门类</w:t>
            </w:r>
          </w:p>
        </w:tc>
        <w:tc>
          <w:tcPr>
            <w:tcW w:w="194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历史学学士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w:t>
            </w:r>
            <w:r>
              <w:rPr>
                <w:rFonts w:ascii="Times New Roman" w:hAnsi="Times New Roman" w:eastAsia="仿宋_GB2312" w:cs="Times New Roman"/>
                <w:sz w:val="24"/>
                <w:szCs w:val="24"/>
              </w:rPr>
              <w:t>设立</w:t>
            </w:r>
            <w:r>
              <w:rPr>
                <w:rFonts w:hint="eastAsia" w:ascii="Times New Roman" w:hAnsi="Times New Roman" w:eastAsia="仿宋_GB2312" w:cs="Times New Roman"/>
                <w:sz w:val="24"/>
                <w:szCs w:val="24"/>
              </w:rPr>
              <w:t>时间</w:t>
            </w:r>
          </w:p>
        </w:tc>
        <w:tc>
          <w:tcPr>
            <w:tcW w:w="173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2001年9月</w:t>
            </w: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所在院系名称</w:t>
            </w:r>
          </w:p>
        </w:tc>
        <w:tc>
          <w:tcPr>
            <w:tcW w:w="194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历史文化与旅游学院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专业总学分</w:t>
            </w:r>
          </w:p>
        </w:tc>
        <w:tc>
          <w:tcPr>
            <w:tcW w:w="173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163</w:t>
            </w: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专业总学时</w:t>
            </w:r>
          </w:p>
        </w:tc>
        <w:tc>
          <w:tcPr>
            <w:tcW w:w="194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2120+32周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实践教学环节学分占总学分比例</w:t>
            </w:r>
          </w:p>
        </w:tc>
        <w:tc>
          <w:tcPr>
            <w:tcW w:w="4394"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本专业教授给本科生上课的比例</w:t>
            </w:r>
          </w:p>
        </w:tc>
        <w:tc>
          <w:tcPr>
            <w:tcW w:w="4394"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100%</w:t>
            </w:r>
          </w:p>
        </w:tc>
      </w:tr>
    </w:tbl>
    <w:p>
      <w:pPr>
        <w:rPr>
          <w:rFonts w:ascii="仿宋" w:hAnsi="仿宋" w:eastAsia="仿宋" w:cs="Times New Roman"/>
          <w:sz w:val="24"/>
          <w:szCs w:val="24"/>
        </w:rPr>
      </w:pPr>
      <w:r>
        <w:rPr>
          <w:rFonts w:ascii="仿宋" w:hAnsi="仿宋" w:eastAsia="仿宋" w:cs="Times New Roman"/>
          <w:sz w:val="24"/>
          <w:szCs w:val="24"/>
        </w:rPr>
        <w:t>注</w:t>
      </w:r>
      <w:r>
        <w:rPr>
          <w:rFonts w:hint="eastAsia" w:ascii="仿宋" w:hAnsi="仿宋" w:eastAsia="仿宋" w:cs="Times New Roman"/>
          <w:sz w:val="24"/>
          <w:szCs w:val="24"/>
        </w:rPr>
        <w:t>：以上数据填报口径为2</w:t>
      </w:r>
      <w:r>
        <w:rPr>
          <w:rFonts w:ascii="仿宋" w:hAnsi="仿宋" w:eastAsia="仿宋" w:cs="Times New Roman"/>
          <w:sz w:val="24"/>
          <w:szCs w:val="24"/>
        </w:rPr>
        <w:t>018</w:t>
      </w:r>
      <w:r>
        <w:rPr>
          <w:rFonts w:hint="eastAsia" w:ascii="仿宋" w:hAnsi="仿宋" w:eastAsia="仿宋" w:cs="Times New Roman"/>
          <w:sz w:val="24"/>
          <w:szCs w:val="24"/>
        </w:rPr>
        <w:t>-</w:t>
      </w:r>
      <w:r>
        <w:rPr>
          <w:rFonts w:ascii="仿宋" w:hAnsi="仿宋" w:eastAsia="仿宋" w:cs="Times New Roman"/>
          <w:sz w:val="24"/>
          <w:szCs w:val="24"/>
        </w:rPr>
        <w:t>2019学年数据</w:t>
      </w:r>
      <w:r>
        <w:rPr>
          <w:rFonts w:hint="eastAsia" w:ascii="仿宋" w:hAnsi="仿宋" w:eastAsia="仿宋" w:cs="Times New Roman"/>
          <w:sz w:val="24"/>
          <w:szCs w:val="24"/>
        </w:rPr>
        <w:t>。</w:t>
      </w:r>
    </w:p>
    <w:p>
      <w:pPr>
        <w:rPr>
          <w:rFonts w:ascii="楷体" w:hAnsi="楷体" w:eastAsia="楷体" w:cs="Times New Roman"/>
          <w:b/>
          <w:sz w:val="32"/>
          <w:szCs w:val="32"/>
        </w:rPr>
      </w:pPr>
      <w:r>
        <w:rPr>
          <w:rFonts w:hint="eastAsia" w:ascii="楷体" w:hAnsi="楷体" w:eastAsia="楷体" w:cs="Times New Roman"/>
          <w:b/>
          <w:sz w:val="32"/>
          <w:szCs w:val="32"/>
        </w:rPr>
        <w:t>2.专业负责人基本情况</w:t>
      </w:r>
    </w:p>
    <w:tbl>
      <w:tblPr>
        <w:tblStyle w:val="5"/>
        <w:tblW w:w="845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3"/>
        <w:gridCol w:w="1595"/>
        <w:gridCol w:w="1311"/>
        <w:gridCol w:w="891"/>
        <w:gridCol w:w="1583"/>
        <w:gridCol w:w="727"/>
        <w:gridCol w:w="806"/>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33"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59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高荣</w:t>
            </w:r>
          </w:p>
        </w:tc>
        <w:tc>
          <w:tcPr>
            <w:tcW w:w="131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89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男</w:t>
            </w:r>
          </w:p>
        </w:tc>
        <w:tc>
          <w:tcPr>
            <w:tcW w:w="158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专业技术职务</w:t>
            </w:r>
          </w:p>
        </w:tc>
        <w:tc>
          <w:tcPr>
            <w:tcW w:w="7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教授</w:t>
            </w:r>
          </w:p>
        </w:tc>
        <w:tc>
          <w:tcPr>
            <w:tcW w:w="8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学历</w:t>
            </w:r>
          </w:p>
        </w:tc>
        <w:tc>
          <w:tcPr>
            <w:tcW w:w="804"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博士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33" w:type="dxa"/>
            <w:vMerge w:val="continue"/>
            <w:vAlign w:val="center"/>
          </w:tcPr>
          <w:p>
            <w:pPr>
              <w:jc w:val="center"/>
              <w:rPr>
                <w:rFonts w:ascii="Times New Roman" w:hAnsi="Times New Roman" w:eastAsia="仿宋_GB2312" w:cs="Times New Roman"/>
                <w:sz w:val="24"/>
                <w:szCs w:val="24"/>
              </w:rPr>
            </w:pPr>
          </w:p>
        </w:tc>
        <w:tc>
          <w:tcPr>
            <w:tcW w:w="1595" w:type="dxa"/>
            <w:vMerge w:val="continue"/>
            <w:vAlign w:val="center"/>
          </w:tcPr>
          <w:p>
            <w:pPr>
              <w:jc w:val="center"/>
              <w:rPr>
                <w:rFonts w:ascii="Times New Roman" w:hAnsi="Times New Roman" w:eastAsia="仿宋_GB2312" w:cs="Times New Roman"/>
                <w:sz w:val="24"/>
                <w:szCs w:val="24"/>
              </w:rPr>
            </w:pPr>
          </w:p>
        </w:tc>
        <w:tc>
          <w:tcPr>
            <w:tcW w:w="131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89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1966</w:t>
            </w:r>
            <w:r>
              <w:rPr>
                <w:rFonts w:ascii="Times New Roman" w:hAnsi="Times New Roman" w:eastAsia="仿宋_GB2312" w:cs="Times New Roman"/>
                <w:sz w:val="24"/>
                <w:szCs w:val="24"/>
              </w:rPr>
              <w:t>.3</w:t>
            </w:r>
          </w:p>
        </w:tc>
        <w:tc>
          <w:tcPr>
            <w:tcW w:w="158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行政职务</w:t>
            </w:r>
          </w:p>
        </w:tc>
        <w:tc>
          <w:tcPr>
            <w:tcW w:w="7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河西学院党委常委组织部长</w:t>
            </w:r>
          </w:p>
        </w:tc>
        <w:tc>
          <w:tcPr>
            <w:tcW w:w="806"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w:t>
            </w:r>
          </w:p>
        </w:tc>
        <w:tc>
          <w:tcPr>
            <w:tcW w:w="804"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博士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8" w:hRule="atLeast"/>
          <w:jc w:val="center"/>
        </w:trPr>
        <w:tc>
          <w:tcPr>
            <w:tcW w:w="2328" w:type="dxa"/>
            <w:gridSpan w:val="2"/>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研究方向和近三年</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主讲的本科课程</w:t>
            </w:r>
          </w:p>
        </w:tc>
        <w:tc>
          <w:tcPr>
            <w:tcW w:w="6122" w:type="dxa"/>
            <w:gridSpan w:val="6"/>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研究方向：中国古代史、河西地方史</w:t>
            </w:r>
          </w:p>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近三年主讲课程：中国古代史</w:t>
            </w:r>
          </w:p>
        </w:tc>
      </w:tr>
    </w:tbl>
    <w:p>
      <w:pPr>
        <w:rPr>
          <w:rFonts w:ascii="楷体" w:hAnsi="楷体" w:eastAsia="楷体" w:cs="宋体"/>
          <w:b/>
          <w:kern w:val="0"/>
          <w:sz w:val="32"/>
          <w:szCs w:val="32"/>
        </w:rPr>
      </w:pPr>
      <w:r>
        <w:rPr>
          <w:rFonts w:hint="eastAsia" w:ascii="楷体" w:hAnsi="楷体" w:eastAsia="楷体" w:cs="宋体"/>
          <w:b/>
          <w:kern w:val="0"/>
          <w:sz w:val="32"/>
          <w:szCs w:val="32"/>
        </w:rPr>
        <w:t>3.近</w:t>
      </w:r>
      <w:r>
        <w:rPr>
          <w:rFonts w:ascii="楷体" w:hAnsi="楷体" w:eastAsia="楷体" w:cs="宋体"/>
          <w:b/>
          <w:kern w:val="0"/>
          <w:sz w:val="32"/>
          <w:szCs w:val="32"/>
        </w:rPr>
        <w:t>3</w:t>
      </w:r>
      <w:r>
        <w:rPr>
          <w:rFonts w:hint="eastAsia" w:ascii="楷体" w:hAnsi="楷体" w:eastAsia="楷体" w:cs="宋体"/>
          <w:b/>
          <w:kern w:val="0"/>
          <w:sz w:val="32"/>
          <w:szCs w:val="32"/>
        </w:rPr>
        <w:t>年本专业毕业生就业（升学）情况</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319"/>
        <w:gridCol w:w="1583"/>
        <w:gridCol w:w="1583"/>
        <w:gridCol w:w="1319"/>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年份</w:t>
            </w:r>
          </w:p>
        </w:tc>
        <w:tc>
          <w:tcPr>
            <w:tcW w:w="131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毕业生</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583"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境内升学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583"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境外升学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31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就业人数</w:t>
            </w:r>
          </w:p>
        </w:tc>
        <w:tc>
          <w:tcPr>
            <w:tcW w:w="16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自主创业</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2018年</w:t>
            </w:r>
          </w:p>
        </w:tc>
        <w:tc>
          <w:tcPr>
            <w:tcW w:w="131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143</w:t>
            </w:r>
          </w:p>
        </w:tc>
        <w:tc>
          <w:tcPr>
            <w:tcW w:w="1583"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w:t>
            </w:r>
          </w:p>
        </w:tc>
        <w:tc>
          <w:tcPr>
            <w:tcW w:w="1583"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31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132</w:t>
            </w:r>
          </w:p>
        </w:tc>
        <w:tc>
          <w:tcPr>
            <w:tcW w:w="16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2017年</w:t>
            </w:r>
          </w:p>
        </w:tc>
        <w:tc>
          <w:tcPr>
            <w:tcW w:w="131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100</w:t>
            </w:r>
          </w:p>
        </w:tc>
        <w:tc>
          <w:tcPr>
            <w:tcW w:w="1583"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13</w:t>
            </w:r>
          </w:p>
        </w:tc>
        <w:tc>
          <w:tcPr>
            <w:tcW w:w="1583"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0</w:t>
            </w:r>
          </w:p>
        </w:tc>
        <w:tc>
          <w:tcPr>
            <w:tcW w:w="131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86</w:t>
            </w:r>
          </w:p>
        </w:tc>
        <w:tc>
          <w:tcPr>
            <w:tcW w:w="16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7"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2016年</w:t>
            </w:r>
          </w:p>
        </w:tc>
        <w:tc>
          <w:tcPr>
            <w:tcW w:w="131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163</w:t>
            </w:r>
          </w:p>
        </w:tc>
        <w:tc>
          <w:tcPr>
            <w:tcW w:w="1583"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13</w:t>
            </w:r>
          </w:p>
        </w:tc>
        <w:tc>
          <w:tcPr>
            <w:tcW w:w="1583"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0</w:t>
            </w:r>
          </w:p>
        </w:tc>
        <w:tc>
          <w:tcPr>
            <w:tcW w:w="131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150</w:t>
            </w:r>
          </w:p>
        </w:tc>
        <w:tc>
          <w:tcPr>
            <w:tcW w:w="16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0</w:t>
            </w:r>
          </w:p>
        </w:tc>
      </w:tr>
    </w:tbl>
    <w:p>
      <w:pPr>
        <w:jc w:val="left"/>
        <w:rPr>
          <w:rFonts w:ascii="Times New Roman" w:hAnsi="Times New Roman" w:eastAsia="宋体" w:cs="Times New Roman"/>
          <w:szCs w:val="24"/>
        </w:rPr>
      </w:pPr>
      <w:r>
        <w:rPr>
          <w:rFonts w:ascii="楷体" w:hAnsi="楷体" w:eastAsia="楷体" w:cs="宋体"/>
          <w:b/>
          <w:kern w:val="0"/>
          <w:sz w:val="32"/>
          <w:szCs w:val="32"/>
        </w:rPr>
        <w:t>4.</w:t>
      </w:r>
      <w:r>
        <w:rPr>
          <w:rFonts w:hint="eastAsia" w:ascii="楷体" w:hAnsi="楷体" w:eastAsia="楷体" w:cs="宋体"/>
          <w:b/>
          <w:kern w:val="0"/>
          <w:sz w:val="32"/>
          <w:szCs w:val="32"/>
        </w:rPr>
        <w:t>近</w:t>
      </w:r>
      <w:r>
        <w:rPr>
          <w:rFonts w:ascii="楷体" w:hAnsi="楷体" w:eastAsia="楷体" w:cs="宋体"/>
          <w:b/>
          <w:kern w:val="0"/>
          <w:sz w:val="32"/>
          <w:szCs w:val="32"/>
        </w:rPr>
        <w:t>3</w:t>
      </w:r>
      <w:r>
        <w:rPr>
          <w:rFonts w:hint="eastAsia" w:ascii="楷体" w:hAnsi="楷体" w:eastAsia="楷体" w:cs="宋体"/>
          <w:b/>
          <w:kern w:val="0"/>
          <w:sz w:val="32"/>
          <w:szCs w:val="32"/>
        </w:rPr>
        <w:t>年本专业</w:t>
      </w:r>
      <w:r>
        <w:rPr>
          <w:rFonts w:hint="eastAsia" w:ascii="楷体" w:hAnsi="楷体" w:eastAsia="楷体" w:cs="Times New Roman"/>
          <w:b/>
          <w:sz w:val="32"/>
          <w:szCs w:val="32"/>
        </w:rPr>
        <w:t>获省部级及以上奖励和支持情况</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827"/>
        <w:gridCol w:w="1207"/>
        <w:gridCol w:w="1723"/>
        <w:gridCol w:w="850"/>
        <w:gridCol w:w="785"/>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类别</w:t>
            </w: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120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项目名称</w:t>
            </w:r>
          </w:p>
        </w:tc>
        <w:tc>
          <w:tcPr>
            <w:tcW w:w="172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所获奖励或支持名称</w:t>
            </w:r>
          </w:p>
        </w:tc>
        <w:tc>
          <w:tcPr>
            <w:tcW w:w="850"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时间</w:t>
            </w:r>
          </w:p>
        </w:tc>
        <w:tc>
          <w:tcPr>
            <w:tcW w:w="78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等级</w:t>
            </w:r>
          </w:p>
        </w:tc>
        <w:tc>
          <w:tcPr>
            <w:tcW w:w="127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教学成果奖</w:t>
            </w: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无</w:t>
            </w: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教学名师与</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教学团队</w:t>
            </w: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无</w:t>
            </w: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tLeast"/>
              <w:ind w:firstLine="240" w:firstLineChars="1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专业建设</w:t>
            </w: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中国史</w:t>
            </w: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重点学科</w:t>
            </w:r>
          </w:p>
        </w:tc>
        <w:tc>
          <w:tcPr>
            <w:tcW w:w="850"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2019年</w:t>
            </w: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甘肃省教育厅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723" w:type="dxa"/>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课程与教材</w:t>
            </w:r>
          </w:p>
        </w:tc>
        <w:tc>
          <w:tcPr>
            <w:tcW w:w="827" w:type="dxa"/>
            <w:vAlign w:val="center"/>
          </w:tcPr>
          <w:p>
            <w:pPr>
              <w:spacing w:beforeLines="20"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spacing w:beforeLines="20" w:afterLines="2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《甘肃省近现代工业经济史论》</w:t>
            </w:r>
          </w:p>
        </w:tc>
        <w:tc>
          <w:tcPr>
            <w:tcW w:w="1723" w:type="dxa"/>
            <w:vAlign w:val="center"/>
          </w:tcPr>
          <w:p>
            <w:pPr>
              <w:spacing w:beforeLines="20" w:afterLines="2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甘肃省高校科研优秀成果奖</w:t>
            </w:r>
          </w:p>
        </w:tc>
        <w:tc>
          <w:tcPr>
            <w:tcW w:w="850"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2017年</w:t>
            </w:r>
          </w:p>
        </w:tc>
        <w:tc>
          <w:tcPr>
            <w:tcW w:w="78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一等</w:t>
            </w:r>
          </w:p>
        </w:tc>
        <w:tc>
          <w:tcPr>
            <w:tcW w:w="127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甘肃省教育厅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beforeLines="20"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spacing w:beforeLines="20" w:afterLines="2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《清代陕甘总督研究》</w:t>
            </w:r>
          </w:p>
        </w:tc>
        <w:tc>
          <w:tcPr>
            <w:tcW w:w="1723" w:type="dxa"/>
            <w:vAlign w:val="center"/>
          </w:tcPr>
          <w:p>
            <w:pPr>
              <w:spacing w:beforeLines="20" w:afterLines="2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甘肃省高校科研优秀成果奖</w:t>
            </w:r>
          </w:p>
        </w:tc>
        <w:tc>
          <w:tcPr>
            <w:tcW w:w="850"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2017年</w:t>
            </w:r>
          </w:p>
        </w:tc>
        <w:tc>
          <w:tcPr>
            <w:tcW w:w="78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二等</w:t>
            </w:r>
          </w:p>
        </w:tc>
        <w:tc>
          <w:tcPr>
            <w:tcW w:w="127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甘肃省教育厅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beforeLines="20"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spacing w:beforeLines="20" w:afterLines="20"/>
              <w:rPr>
                <w:rFonts w:ascii="Times New Roman" w:hAnsi="Times New Roman" w:eastAsia="仿宋_GB2312" w:cs="Times New Roman"/>
                <w:sz w:val="24"/>
                <w:szCs w:val="24"/>
              </w:rPr>
            </w:pPr>
          </w:p>
        </w:tc>
        <w:tc>
          <w:tcPr>
            <w:tcW w:w="1723" w:type="dxa"/>
            <w:vAlign w:val="center"/>
          </w:tcPr>
          <w:p>
            <w:pPr>
              <w:spacing w:beforeLines="20" w:afterLines="2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实验和实践</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教学平台</w:t>
            </w: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无</w:t>
            </w: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教学改革项目</w:t>
            </w:r>
          </w:p>
        </w:tc>
        <w:tc>
          <w:tcPr>
            <w:tcW w:w="827" w:type="dxa"/>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spacing w:beforeLines="30"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无</w:t>
            </w: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rPr>
                <w:rFonts w:ascii="Times New Roman" w:hAnsi="Times New Roman" w:eastAsia="仿宋_GB2312" w:cs="Times New Roman"/>
                <w:sz w:val="24"/>
                <w:szCs w:val="24"/>
              </w:rPr>
            </w:pPr>
          </w:p>
        </w:tc>
        <w:tc>
          <w:tcPr>
            <w:tcW w:w="1723" w:type="dxa"/>
            <w:vAlign w:val="center"/>
          </w:tcPr>
          <w:p>
            <w:pPr>
              <w:rPr>
                <w:rFonts w:ascii="Times New Roman" w:hAnsi="Times New Roman" w:eastAsia="仿宋_GB2312" w:cs="Times New Roman"/>
                <w:sz w:val="24"/>
                <w:szCs w:val="24"/>
              </w:rPr>
            </w:pPr>
          </w:p>
        </w:tc>
        <w:tc>
          <w:tcPr>
            <w:tcW w:w="850"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p>
        </w:tc>
        <w:tc>
          <w:tcPr>
            <w:tcW w:w="1279"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restart"/>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其他</w:t>
            </w:r>
          </w:p>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（限5</w:t>
            </w:r>
            <w:r>
              <w:rPr>
                <w:rFonts w:ascii="Times New Roman" w:hAnsi="Times New Roman" w:eastAsia="仿宋_GB2312" w:cs="Times New Roman"/>
                <w:sz w:val="24"/>
                <w:szCs w:val="24"/>
              </w:rPr>
              <w:t>0</w:t>
            </w:r>
            <w:r>
              <w:rPr>
                <w:rFonts w:hint="eastAsia" w:ascii="Times New Roman" w:hAnsi="Times New Roman" w:eastAsia="仿宋_GB2312" w:cs="Times New Roman"/>
                <w:sz w:val="24"/>
                <w:szCs w:val="24"/>
              </w:rPr>
              <w:t>项）</w:t>
            </w: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207" w:type="dxa"/>
            <w:vAlign w:val="center"/>
          </w:tcPr>
          <w:p>
            <w:pPr>
              <w:spacing w:beforeLines="30" w:afterLine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无</w:t>
            </w: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bl>
    <w:p>
      <w:pPr>
        <w:widowControl/>
        <w:tabs>
          <w:tab w:val="left" w:pos="1013"/>
        </w:tabs>
        <w:ind w:right="-197" w:rightChars="-94"/>
        <w:jc w:val="left"/>
        <w:rPr>
          <w:rFonts w:ascii="Times New Roman" w:hAnsi="Times New Roman" w:eastAsia="宋体" w:cs="Times New Roman"/>
          <w:szCs w:val="24"/>
        </w:rPr>
      </w:pPr>
    </w:p>
    <w:p>
      <w:pPr>
        <w:widowControl/>
        <w:tabs>
          <w:tab w:val="left" w:pos="1013"/>
        </w:tabs>
        <w:ind w:right="-197" w:rightChars="-94"/>
        <w:jc w:val="left"/>
        <w:rPr>
          <w:rFonts w:ascii="Times New Roman" w:hAnsi="Times New Roman" w:eastAsia="宋体" w:cs="Times New Roman"/>
          <w:szCs w:val="24"/>
        </w:rPr>
      </w:pPr>
      <w:r>
        <w:rPr>
          <w:rFonts w:hint="eastAsia" w:ascii="Times New Roman" w:hAnsi="Times New Roman" w:eastAsia="宋体" w:cs="Times New Roman"/>
          <w:szCs w:val="24"/>
        </w:rPr>
        <w:t>注：1</w:t>
      </w:r>
      <w:r>
        <w:rPr>
          <w:rFonts w:ascii="Times New Roman" w:hAnsi="Times New Roman" w:eastAsia="宋体" w:cs="Times New Roman"/>
          <w:szCs w:val="24"/>
        </w:rPr>
        <w:t>.专业建设指本专业获得省部级</w:t>
      </w:r>
      <w:r>
        <w:rPr>
          <w:rFonts w:hint="eastAsia" w:ascii="Times New Roman" w:hAnsi="Times New Roman" w:eastAsia="宋体" w:cs="Times New Roman"/>
          <w:szCs w:val="24"/>
        </w:rPr>
        <w:t>特色专业、品牌专业、一流专业等建设项目支持情况。</w:t>
      </w:r>
    </w:p>
    <w:p>
      <w:pPr>
        <w:widowControl/>
        <w:tabs>
          <w:tab w:val="left" w:pos="1013"/>
        </w:tabs>
        <w:jc w:val="left"/>
        <w:rPr>
          <w:rFonts w:ascii="Times New Roman" w:hAnsi="Times New Roman" w:eastAsia="宋体" w:cs="Times New Roman"/>
          <w:szCs w:val="24"/>
        </w:rPr>
      </w:pPr>
      <w:r>
        <w:rPr>
          <w:rFonts w:ascii="Times New Roman" w:hAnsi="Times New Roman" w:eastAsia="宋体" w:cs="Times New Roman"/>
          <w:szCs w:val="24"/>
        </w:rPr>
        <w:t xml:space="preserve">   2.其他指本专业教师和学生获得的省部级及以上教育教学奖励和支持情况</w:t>
      </w:r>
      <w:r>
        <w:rPr>
          <w:rFonts w:hint="eastAsia" w:ascii="Times New Roman" w:hAnsi="Times New Roman" w:eastAsia="宋体" w:cs="Times New Roman"/>
          <w:szCs w:val="24"/>
        </w:rPr>
        <w:t>。</w:t>
      </w:r>
    </w:p>
    <w:p>
      <w:pPr>
        <w:widowControl/>
        <w:jc w:val="left"/>
        <w:rPr>
          <w:rFonts w:ascii="楷体" w:hAnsi="楷体" w:eastAsia="楷体" w:cs="宋体"/>
          <w:b/>
          <w:kern w:val="0"/>
          <w:sz w:val="32"/>
          <w:szCs w:val="32"/>
        </w:rPr>
      </w:pPr>
      <w:r>
        <w:rPr>
          <w:rFonts w:ascii="Times New Roman" w:hAnsi="Times New Roman" w:eastAsia="宋体" w:cs="Times New Roman"/>
          <w:szCs w:val="24"/>
        </w:rPr>
        <w:br w:type="page"/>
      </w:r>
      <w:r>
        <w:rPr>
          <w:rFonts w:hint="eastAsia" w:ascii="楷体" w:hAnsi="楷体" w:eastAsia="楷体" w:cs="宋体"/>
          <w:b/>
          <w:kern w:val="0"/>
          <w:sz w:val="32"/>
          <w:szCs w:val="32"/>
        </w:rPr>
        <w:t>5</w:t>
      </w:r>
      <w:r>
        <w:rPr>
          <w:rFonts w:ascii="楷体" w:hAnsi="楷体" w:eastAsia="楷体" w:cs="宋体"/>
          <w:b/>
          <w:kern w:val="0"/>
          <w:sz w:val="32"/>
          <w:szCs w:val="32"/>
        </w:rPr>
        <w:t>.专业定位</w:t>
      </w:r>
      <w:r>
        <w:rPr>
          <w:rFonts w:hint="eastAsia" w:ascii="楷体" w:hAnsi="楷体" w:eastAsia="楷体" w:cs="宋体"/>
          <w:b/>
          <w:kern w:val="0"/>
          <w:sz w:val="32"/>
          <w:szCs w:val="32"/>
        </w:rPr>
        <w:t>、</w:t>
      </w:r>
      <w:r>
        <w:rPr>
          <w:rFonts w:ascii="楷体" w:hAnsi="楷体" w:eastAsia="楷体" w:cs="宋体"/>
          <w:b/>
          <w:kern w:val="0"/>
          <w:sz w:val="32"/>
          <w:szCs w:val="32"/>
        </w:rPr>
        <w:t>历史沿革和特色优势</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8296" w:type="dxa"/>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p>
            <w:pPr>
              <w:spacing w:line="560" w:lineRule="exact"/>
              <w:ind w:firstLine="482" w:firstLineChars="200"/>
              <w:rPr>
                <w:rFonts w:ascii="宋体" w:hAnsi="宋体" w:eastAsia="宋体" w:cs="Times New Roman"/>
                <w:b/>
                <w:sz w:val="24"/>
                <w:szCs w:val="24"/>
              </w:rPr>
            </w:pPr>
            <w:r>
              <w:rPr>
                <w:rFonts w:hint="eastAsia" w:ascii="宋体" w:hAnsi="宋体" w:eastAsia="宋体" w:cs="Times New Roman"/>
                <w:b/>
                <w:sz w:val="24"/>
                <w:szCs w:val="24"/>
              </w:rPr>
              <w:t>1.专业定位</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坚持以立足河西、辐射周边、借力复旦大学、服务地方为基本原则，以学科和专业建设为龙头，以应用型人才培养为根本，以课程建设与科学研究为基础，以服务社会为支撑，致力于建成特色鲜明、竞争力较强、校内文科一流专业，努力建设适应河西及周边地区文化教育发展需要的历史专业人才培养基地。</w:t>
            </w:r>
          </w:p>
          <w:p>
            <w:pPr>
              <w:spacing w:line="560" w:lineRule="exact"/>
              <w:ind w:firstLine="482" w:firstLineChars="200"/>
              <w:rPr>
                <w:rFonts w:ascii="宋体" w:hAnsi="宋体" w:eastAsia="宋体" w:cs="Times New Roman"/>
                <w:b/>
                <w:sz w:val="24"/>
                <w:szCs w:val="24"/>
              </w:rPr>
            </w:pPr>
            <w:r>
              <w:rPr>
                <w:rFonts w:hint="eastAsia" w:ascii="宋体" w:hAnsi="宋体" w:eastAsia="宋体" w:cs="Times New Roman"/>
                <w:b/>
                <w:sz w:val="24"/>
                <w:szCs w:val="24"/>
              </w:rPr>
              <w:t>2.历史沿革</w:t>
            </w:r>
          </w:p>
          <w:p>
            <w:pPr>
              <w:spacing w:line="560" w:lineRule="exact"/>
              <w:ind w:firstLine="480" w:firstLineChars="200"/>
              <w:rPr>
                <w:rFonts w:ascii="宋体" w:hAnsi="宋体" w:eastAsia="宋体" w:cs="Times New Roman"/>
                <w:sz w:val="24"/>
                <w:szCs w:val="24"/>
              </w:rPr>
            </w:pPr>
            <w:r>
              <w:rPr>
                <w:rFonts w:ascii="宋体" w:hAnsi="宋体" w:eastAsia="宋体" w:cs="Times New Roman"/>
                <w:sz w:val="24"/>
                <w:szCs w:val="24"/>
              </w:rPr>
              <w:t>历史学专业可追溯至</w:t>
            </w:r>
            <w:r>
              <w:rPr>
                <w:rFonts w:hint="eastAsia" w:ascii="宋体" w:hAnsi="宋体" w:eastAsia="宋体" w:cs="Times New Roman"/>
                <w:sz w:val="24"/>
                <w:szCs w:val="24"/>
              </w:rPr>
              <w:t>1941年成立的甘肃省立张掖师范学校部分历史师资、课程。1958年7月，张掖师范学校建立后，在高等教育、师范教育、成人教育当中设置有历史类课程，历史学教授张孟伦是建校初期26名教职工中唯一一名教授。1959年7月，中共张掖地委决定将张掖师范学校更名为“张掖师范专科学校”，历史类课程继续在学校相关专业设置。1962年7月，张掖师范专科学校停办，大部分教师到张掖师范任教，承担历史类课程的教师也到张掖师范任教。1966年至1976年学校工作基本停顿，历史类课程也未能正常开设。1978年12月，国务院正式批准成立恢复张掖师范专科学校、相关专业历史类课程正常开设；不久成立马列教研组。1986年，学校增设政史双学科专业。2001年5月，教育部批准成立河西学院，历史学本科专业开始招生，是河西学院首批招生本科专业的学院（系）之一。2002年，“河西历史与文化”首次获批省级重点学科。2005年5月，历史学专业被甘肃省学位委员会审核同意增列为学士学位授权专业。</w:t>
            </w:r>
            <w:r>
              <w:rPr>
                <w:rFonts w:ascii="宋体" w:hAnsi="宋体" w:eastAsia="宋体" w:cs="Times New Roman"/>
                <w:sz w:val="24"/>
                <w:szCs w:val="24"/>
              </w:rPr>
              <w:t>2010年5月，甘肃省教育厅批准成立“河西史地与文化研究中心”</w:t>
            </w:r>
            <w:r>
              <w:rPr>
                <w:rFonts w:hint="eastAsia" w:ascii="宋体" w:hAnsi="宋体" w:eastAsia="宋体" w:cs="Times New Roman"/>
                <w:sz w:val="24"/>
                <w:szCs w:val="24"/>
              </w:rPr>
              <w:t>为</w:t>
            </w:r>
            <w:r>
              <w:rPr>
                <w:rFonts w:ascii="宋体" w:hAnsi="宋体" w:eastAsia="宋体" w:cs="Times New Roman"/>
                <w:sz w:val="24"/>
                <w:szCs w:val="24"/>
              </w:rPr>
              <w:t>甘肃省高校人文社科重点研究基地</w:t>
            </w:r>
            <w:r>
              <w:rPr>
                <w:rFonts w:hint="eastAsia" w:ascii="宋体" w:hAnsi="宋体" w:eastAsia="宋体" w:cs="Times New Roman"/>
                <w:sz w:val="24"/>
                <w:szCs w:val="24"/>
              </w:rPr>
              <w:t>。2010年11月，学校在内部院系调整过程中，历史系改为历史文化与旅游学院。</w:t>
            </w:r>
          </w:p>
          <w:p>
            <w:pPr>
              <w:spacing w:line="560" w:lineRule="exact"/>
              <w:ind w:firstLine="482" w:firstLineChars="200"/>
              <w:rPr>
                <w:rFonts w:ascii="宋体" w:hAnsi="宋体" w:eastAsia="宋体" w:cs="Times New Roman"/>
                <w:b/>
                <w:sz w:val="24"/>
                <w:szCs w:val="24"/>
              </w:rPr>
            </w:pPr>
            <w:r>
              <w:rPr>
                <w:rFonts w:hint="eastAsia" w:ascii="宋体" w:hAnsi="宋体" w:eastAsia="宋体" w:cs="Times New Roman"/>
                <w:b/>
                <w:sz w:val="24"/>
                <w:szCs w:val="24"/>
              </w:rPr>
              <w:t>3.</w:t>
            </w:r>
            <w:r>
              <w:rPr>
                <w:rFonts w:ascii="宋体" w:hAnsi="宋体" w:eastAsia="宋体" w:cs="Times New Roman"/>
                <w:b/>
                <w:sz w:val="24"/>
                <w:szCs w:val="24"/>
              </w:rPr>
              <w:t>特色优势</w:t>
            </w:r>
          </w:p>
          <w:p>
            <w:pPr>
              <w:spacing w:line="560" w:lineRule="exact"/>
              <w:ind w:firstLine="482" w:firstLineChars="200"/>
              <w:rPr>
                <w:rFonts w:ascii="宋体" w:hAnsi="宋体" w:eastAsia="宋体" w:cs="Times New Roman"/>
                <w:b/>
                <w:sz w:val="24"/>
                <w:szCs w:val="24"/>
              </w:rPr>
            </w:pPr>
            <w:r>
              <w:rPr>
                <w:rFonts w:hint="eastAsia" w:ascii="宋体" w:hAnsi="宋体" w:eastAsia="宋体" w:cs="Times New Roman"/>
                <w:b/>
                <w:sz w:val="24"/>
                <w:szCs w:val="24"/>
              </w:rPr>
              <w:t>第一，学科专业基础雄厚</w:t>
            </w:r>
          </w:p>
          <w:p>
            <w:pPr>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历史学专业是河西学院首批招生本科的专业之一。现有甘肃省重点学科（历史文献学）、甘肃省高校人文社科重点研究基地（河西史地与文化研究中心）。已建成“中国古代史”省级教学团队和省级精品课程。历史学专业被学校列为硕士点重点建设单位。2019年2月，“中国史”被甘肃省列为省级重点学科。　　　　　　　　　      </w:t>
            </w:r>
          </w:p>
          <w:p>
            <w:pPr>
              <w:spacing w:line="560" w:lineRule="exact"/>
              <w:ind w:firstLine="482" w:firstLineChars="200"/>
              <w:rPr>
                <w:rFonts w:ascii="宋体" w:hAnsi="宋体" w:eastAsia="宋体" w:cs="Times New Roman"/>
                <w:b/>
                <w:sz w:val="24"/>
                <w:szCs w:val="24"/>
              </w:rPr>
            </w:pPr>
            <w:r>
              <w:rPr>
                <w:rFonts w:hint="eastAsia" w:ascii="宋体" w:hAnsi="宋体" w:eastAsia="宋体" w:cs="Times New Roman"/>
                <w:b/>
                <w:sz w:val="24"/>
                <w:szCs w:val="24"/>
              </w:rPr>
              <w:t>第二，科学研究特色明显</w:t>
            </w:r>
          </w:p>
          <w:p>
            <w:pPr>
              <w:widowControl/>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历史学专业坚持立足河西、做河西文章的科研方向，组织开展学术交流，经过多年的积累，在河西历史、河西简牍与敦煌文献、河西魏晋壁画墓、河西民俗与文化、河西开发与丝绸之路等研究领域取得了重要成果。近年来获得省部级项目11想，获得科研经费（含配套）360余万元。</w:t>
            </w:r>
          </w:p>
          <w:p>
            <w:pPr>
              <w:spacing w:line="560" w:lineRule="exact"/>
              <w:ind w:firstLine="482" w:firstLineChars="200"/>
              <w:rPr>
                <w:rFonts w:ascii="宋体" w:hAnsi="宋体" w:eastAsia="宋体" w:cs="Times New Roman"/>
                <w:b/>
                <w:sz w:val="24"/>
                <w:szCs w:val="24"/>
              </w:rPr>
            </w:pPr>
            <w:r>
              <w:rPr>
                <w:rFonts w:hint="eastAsia" w:ascii="宋体" w:hAnsi="宋体" w:eastAsia="宋体" w:cs="Times New Roman"/>
                <w:b/>
                <w:sz w:val="24"/>
                <w:szCs w:val="24"/>
              </w:rPr>
              <w:t>第三，文旅专业深度融合</w:t>
            </w:r>
          </w:p>
          <w:p>
            <w:pPr>
              <w:widowControl/>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适应国家发展战略的需求，紧跟社会人才需求，结合自身情况，在课程设置等方面依托历史学专业的传统优势，在实现历史学、旅游管理和酒店管理三个全日制本科专业的深度融合方面，取得了积极的效果。</w:t>
            </w:r>
          </w:p>
          <w:p>
            <w:pPr>
              <w:spacing w:line="560" w:lineRule="exact"/>
              <w:ind w:firstLine="482" w:firstLineChars="200"/>
              <w:rPr>
                <w:rFonts w:ascii="宋体" w:hAnsi="宋体" w:eastAsia="宋体" w:cs="Times New Roman"/>
                <w:b/>
                <w:sz w:val="24"/>
                <w:szCs w:val="24"/>
              </w:rPr>
            </w:pPr>
            <w:r>
              <w:rPr>
                <w:rFonts w:hint="eastAsia" w:ascii="宋体" w:hAnsi="宋体" w:eastAsia="宋体" w:cs="Times New Roman"/>
                <w:b/>
                <w:sz w:val="24"/>
                <w:szCs w:val="24"/>
              </w:rPr>
              <w:t>第四，学术交流活动频繁</w:t>
            </w:r>
          </w:p>
          <w:p>
            <w:pPr>
              <w:widowControl/>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近3年来历史学专业教师共有30余人次分别参加国际国内研讨会。2</w:t>
            </w:r>
            <w:r>
              <w:rPr>
                <w:rFonts w:ascii="宋体" w:hAnsi="宋体" w:eastAsia="宋体" w:cs="Times New Roman"/>
                <w:sz w:val="24"/>
                <w:szCs w:val="24"/>
              </w:rPr>
              <w:t>015</w:t>
            </w:r>
            <w:r>
              <w:rPr>
                <w:rFonts w:hint="eastAsia" w:ascii="宋体" w:hAnsi="宋体" w:eastAsia="宋体" w:cs="Times New Roman"/>
                <w:sz w:val="24"/>
                <w:szCs w:val="24"/>
              </w:rPr>
              <w:t>年以来，依托历史学专业主办、承办、协办学术会议7次。这些学术交流活动大大拓宽了师生的学术视野，增进了了解与友谊，为学术研究的进一步深入奠定了良好的基础。</w:t>
            </w:r>
          </w:p>
          <w:p>
            <w:pPr>
              <w:spacing w:line="560" w:lineRule="exact"/>
              <w:ind w:firstLine="482" w:firstLineChars="200"/>
              <w:rPr>
                <w:rFonts w:ascii="宋体" w:hAnsi="宋体" w:eastAsia="宋体" w:cs="Times New Roman"/>
                <w:b/>
                <w:sz w:val="24"/>
                <w:szCs w:val="24"/>
              </w:rPr>
            </w:pPr>
            <w:r>
              <w:rPr>
                <w:rFonts w:hint="eastAsia" w:ascii="宋体" w:hAnsi="宋体" w:eastAsia="宋体" w:cs="Times New Roman"/>
                <w:b/>
                <w:sz w:val="24"/>
                <w:szCs w:val="24"/>
              </w:rPr>
              <w:t>第五，借力复旦大学，不断提升教学水平</w:t>
            </w:r>
          </w:p>
          <w:p>
            <w:pPr>
              <w:widowControl/>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2016年6月，复旦大学历史学系与学院签订了对口支援协议，将院系合作提升到了新的高度。历史学专业在复旦大学的支援下设基地班，与复旦大学进行1+2+1联合培养，目前已经在一本线上招收14名学生，2016级、2017级已顺利到复旦大学开始交流学习。</w:t>
            </w:r>
          </w:p>
          <w:p>
            <w:pPr>
              <w:spacing w:line="0" w:lineRule="atLeast"/>
              <w:jc w:val="left"/>
              <w:rPr>
                <w:rFonts w:ascii="仿宋" w:hAnsi="仿宋" w:eastAsia="仿宋" w:cs="Times New Roman"/>
                <w:bCs/>
                <w:szCs w:val="21"/>
              </w:rPr>
            </w:pPr>
          </w:p>
          <w:p>
            <w:pPr>
              <w:spacing w:line="0" w:lineRule="atLeast"/>
              <w:jc w:val="left"/>
              <w:rPr>
                <w:rFonts w:ascii="仿宋_GB2312" w:hAnsi="仿宋" w:eastAsia="仿宋_GB2312"/>
                <w:szCs w:val="21"/>
              </w:rPr>
            </w:pPr>
          </w:p>
        </w:tc>
      </w:tr>
    </w:tbl>
    <w:p>
      <w:pPr>
        <w:widowControl/>
        <w:jc w:val="left"/>
        <w:rPr>
          <w:rFonts w:ascii="楷体" w:hAnsi="楷体" w:eastAsia="楷体" w:cs="宋体"/>
          <w:b/>
          <w:kern w:val="0"/>
          <w:sz w:val="32"/>
          <w:szCs w:val="32"/>
        </w:rPr>
      </w:pPr>
      <w:r>
        <w:rPr>
          <w:rFonts w:hint="eastAsia" w:ascii="楷体" w:hAnsi="楷体" w:eastAsia="楷体" w:cs="宋体"/>
          <w:b/>
          <w:kern w:val="0"/>
          <w:sz w:val="32"/>
          <w:szCs w:val="32"/>
        </w:rPr>
        <w:t>6</w:t>
      </w:r>
      <w:r>
        <w:rPr>
          <w:rFonts w:ascii="楷体" w:hAnsi="楷体" w:eastAsia="楷体" w:cs="宋体"/>
          <w:b/>
          <w:kern w:val="0"/>
          <w:sz w:val="32"/>
          <w:szCs w:val="32"/>
        </w:rPr>
        <w:t>.深化专业</w:t>
      </w:r>
      <w:r>
        <w:rPr>
          <w:rFonts w:hint="eastAsia" w:ascii="楷体" w:hAnsi="楷体" w:eastAsia="楷体" w:cs="宋体"/>
          <w:b/>
          <w:kern w:val="0"/>
          <w:sz w:val="32"/>
          <w:szCs w:val="32"/>
        </w:rPr>
        <w:t>综合</w:t>
      </w:r>
      <w:r>
        <w:rPr>
          <w:rFonts w:ascii="楷体" w:hAnsi="楷体" w:eastAsia="楷体" w:cs="宋体"/>
          <w:b/>
          <w:kern w:val="0"/>
          <w:sz w:val="32"/>
          <w:szCs w:val="32"/>
        </w:rPr>
        <w:t>改革的主要</w:t>
      </w:r>
      <w:r>
        <w:rPr>
          <w:rFonts w:hint="eastAsia" w:ascii="楷体" w:hAnsi="楷体" w:eastAsia="楷体" w:cs="宋体"/>
          <w:b/>
          <w:kern w:val="0"/>
          <w:sz w:val="32"/>
          <w:szCs w:val="32"/>
        </w:rPr>
        <w:t>举措和成效</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296" w:type="dxa"/>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1000字以内</w:t>
            </w:r>
            <w:r>
              <w:rPr>
                <w:rFonts w:hint="eastAsia" w:ascii="仿宋" w:hAnsi="仿宋" w:eastAsia="仿宋" w:cs="Times New Roman"/>
                <w:bCs/>
                <w:szCs w:val="21"/>
              </w:rPr>
              <w:t>）</w:t>
            </w:r>
          </w:p>
          <w:p>
            <w:pPr>
              <w:widowControl/>
              <w:spacing w:line="560" w:lineRule="exact"/>
              <w:ind w:firstLine="482" w:firstLineChars="200"/>
              <w:rPr>
                <w:rFonts w:ascii="宋体" w:hAnsi="宋体" w:eastAsia="宋体" w:cs="Times New Roman"/>
                <w:b/>
                <w:sz w:val="24"/>
                <w:szCs w:val="24"/>
              </w:rPr>
            </w:pPr>
            <w:r>
              <w:rPr>
                <w:rFonts w:hint="eastAsia" w:ascii="宋体" w:hAnsi="宋体" w:eastAsia="宋体" w:cs="Times New Roman"/>
                <w:b/>
                <w:sz w:val="24"/>
                <w:szCs w:val="24"/>
              </w:rPr>
              <w:t>1.硕士点的申报</w:t>
            </w:r>
          </w:p>
          <w:p>
            <w:pPr>
              <w:widowControl/>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结合现有专业建设的优势，积极开展历史学硕士点的申报和筹建，2018年被学校列为硕士点重点建设单位。 </w:t>
            </w:r>
          </w:p>
          <w:p>
            <w:pPr>
              <w:widowControl/>
              <w:spacing w:line="560" w:lineRule="exact"/>
              <w:ind w:firstLine="482" w:firstLineChars="200"/>
              <w:rPr>
                <w:rFonts w:ascii="宋体" w:hAnsi="宋体" w:eastAsia="宋体" w:cs="Times New Roman"/>
                <w:b/>
                <w:sz w:val="24"/>
                <w:szCs w:val="24"/>
              </w:rPr>
            </w:pPr>
            <w:r>
              <w:rPr>
                <w:rFonts w:hint="eastAsia" w:ascii="宋体" w:hAnsi="宋体" w:eastAsia="宋体" w:cs="Times New Roman"/>
                <w:b/>
                <w:sz w:val="24"/>
                <w:szCs w:val="24"/>
              </w:rPr>
              <w:t>2.人才培养方案调整</w:t>
            </w:r>
          </w:p>
          <w:p>
            <w:pPr>
              <w:widowControl/>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充分发挥学科建设的优势，采用理论与实践并重的人才培养模式，坚持立足河西、服务社会、辐射新疆和周边地区的办学定位，2019版历史学人才培养方案已基本修订完毕。</w:t>
            </w:r>
          </w:p>
          <w:p>
            <w:pPr>
              <w:widowControl/>
              <w:spacing w:line="560" w:lineRule="exact"/>
              <w:ind w:firstLine="482" w:firstLineChars="200"/>
              <w:rPr>
                <w:rFonts w:ascii="宋体" w:hAnsi="宋体" w:eastAsia="宋体" w:cs="Times New Roman"/>
                <w:b/>
                <w:sz w:val="24"/>
                <w:szCs w:val="24"/>
              </w:rPr>
            </w:pPr>
            <w:r>
              <w:rPr>
                <w:rFonts w:hint="eastAsia" w:ascii="宋体" w:hAnsi="宋体" w:eastAsia="宋体" w:cs="Times New Roman"/>
                <w:b/>
                <w:sz w:val="24"/>
                <w:szCs w:val="24"/>
              </w:rPr>
              <w:t>3.教师教学能力提升</w:t>
            </w:r>
          </w:p>
          <w:p>
            <w:pPr>
              <w:widowControl/>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历史学专业老师真正将“教学”作为学术的应有之义，加强对教学制度建设、健全评价、激励机制等，注重以科研促进教学，切实提高教育教学质量，近3年在学校组织的教学技能竞赛中</w:t>
            </w:r>
            <w:r>
              <w:rPr>
                <w:rFonts w:hint="eastAsia" w:ascii="宋体" w:hAnsi="宋体" w:eastAsia="宋体" w:cs="Times New Roman"/>
                <w:sz w:val="24"/>
                <w:szCs w:val="24"/>
                <w:lang w:eastAsia="zh-CN"/>
              </w:rPr>
              <w:t>多</w:t>
            </w:r>
            <w:r>
              <w:rPr>
                <w:rFonts w:hint="eastAsia" w:ascii="宋体" w:hAnsi="宋体" w:eastAsia="宋体" w:cs="Times New Roman"/>
                <w:sz w:val="24"/>
                <w:szCs w:val="24"/>
              </w:rPr>
              <w:t>人获奖。</w:t>
            </w:r>
          </w:p>
          <w:p>
            <w:pPr>
              <w:widowControl/>
              <w:spacing w:line="560" w:lineRule="exact"/>
              <w:ind w:firstLine="482" w:firstLineChars="200"/>
              <w:rPr>
                <w:rFonts w:ascii="宋体" w:hAnsi="宋体" w:eastAsia="宋体" w:cs="Times New Roman"/>
                <w:b/>
                <w:sz w:val="24"/>
                <w:szCs w:val="24"/>
              </w:rPr>
            </w:pPr>
            <w:r>
              <w:rPr>
                <w:rFonts w:hint="eastAsia" w:ascii="宋体" w:hAnsi="宋体" w:eastAsia="宋体" w:cs="Times New Roman"/>
                <w:b/>
                <w:sz w:val="24"/>
                <w:szCs w:val="24"/>
              </w:rPr>
              <w:t>4.师德师风建设</w:t>
            </w:r>
          </w:p>
          <w:p>
            <w:pPr>
              <w:widowControl/>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历史学专业教师认真贯彻落实《高等学校教师职业道德规范》，严格执行学校《关于进一步加强和改进师德师风建设的实施意见》精神，对师德师风方面表现优秀的教师予以表扬。2名教师获评为甘肃省“师德标兵”。</w:t>
            </w:r>
          </w:p>
          <w:p>
            <w:pPr>
              <w:widowControl/>
              <w:spacing w:line="560" w:lineRule="exact"/>
              <w:ind w:firstLine="482" w:firstLineChars="200"/>
              <w:rPr>
                <w:rFonts w:ascii="宋体" w:hAnsi="宋体" w:eastAsia="宋体" w:cs="Times New Roman"/>
                <w:b/>
                <w:sz w:val="24"/>
                <w:szCs w:val="24"/>
              </w:rPr>
            </w:pPr>
            <w:r>
              <w:rPr>
                <w:rFonts w:hint="eastAsia" w:ascii="宋体" w:hAnsi="宋体" w:eastAsia="宋体" w:cs="Times New Roman"/>
                <w:b/>
                <w:sz w:val="24"/>
                <w:szCs w:val="24"/>
              </w:rPr>
              <w:t>5.教学研究</w:t>
            </w:r>
          </w:p>
          <w:p>
            <w:pPr>
              <w:widowControl/>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历史学专业课程建设成果明显。王美蓉主持的《甘肃近现代工业经济史论》获2017年甘肃省高校科研优秀成果一等奖，杨军民主持的《清代陕甘总督研究》获2017年甘肃省高校科研优秀成果二等奖。蒋超主持的《河西走廊近代历史简编》、王美蓉主持的《河西走廊近代人物》立项为校级重点课程项目。 </w:t>
            </w:r>
          </w:p>
          <w:p>
            <w:pPr>
              <w:widowControl/>
              <w:spacing w:line="560" w:lineRule="exact"/>
              <w:ind w:firstLine="482" w:firstLineChars="200"/>
              <w:rPr>
                <w:rFonts w:ascii="宋体" w:hAnsi="宋体" w:eastAsia="宋体" w:cs="Times New Roman"/>
                <w:b/>
                <w:sz w:val="24"/>
                <w:szCs w:val="24"/>
              </w:rPr>
            </w:pPr>
            <w:r>
              <w:rPr>
                <w:rFonts w:hint="eastAsia" w:ascii="宋体" w:hAnsi="宋体" w:eastAsia="宋体" w:cs="Times New Roman"/>
                <w:b/>
                <w:sz w:val="24"/>
                <w:szCs w:val="24"/>
              </w:rPr>
              <w:t xml:space="preserve">6.教师发展 </w:t>
            </w:r>
          </w:p>
          <w:p>
            <w:pPr>
              <w:widowControl/>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学院坚持进行集体听课、评课制度，鼓励教师参加教学技能大赛，不断提升教学实践能力，踊跃参加教学学术和教学技能交流活动。</w:t>
            </w:r>
          </w:p>
          <w:p>
            <w:pPr>
              <w:widowControl/>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学院坚持实施青年教师导师制，为每一位青年教师配备高级职称的教师为导师，双方签订教学和科研指导的协议，并将协议的执行情况作为双方考核的基本内容。</w:t>
            </w:r>
          </w:p>
          <w:p>
            <w:pPr>
              <w:widowControl/>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学院鼓励教师的访学进修，每年都要安排青年教师赴复旦大学等国内高水平名校进修，近3年有4名专业教师在复旦大学进行访学和课程进修。学院鼓励教师继续深造，提高学历，近3年有2名教师获得或正在攻读博士学位，近三年从兰州大学和陕西师范大学引进博士2人。</w:t>
            </w:r>
          </w:p>
          <w:p>
            <w:pPr>
              <w:widowControl/>
              <w:spacing w:line="5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学院鼓励教授参加省内外学术交流，3年来共有30余人次赴上海、北京、兰州、敦煌等地参加各级学术交流活动。</w:t>
            </w:r>
          </w:p>
          <w:p>
            <w:pPr>
              <w:widowControl/>
              <w:spacing w:line="560" w:lineRule="exact"/>
              <w:ind w:firstLine="480" w:firstLineChars="200"/>
              <w:rPr>
                <w:rFonts w:ascii="宋体" w:hAnsi="宋体" w:eastAsia="宋体" w:cs="Times New Roman"/>
                <w:sz w:val="24"/>
                <w:szCs w:val="24"/>
              </w:rPr>
            </w:pPr>
          </w:p>
          <w:p>
            <w:pPr>
              <w:widowControl/>
              <w:spacing w:line="560" w:lineRule="exact"/>
              <w:ind w:firstLine="480" w:firstLineChars="200"/>
              <w:rPr>
                <w:rFonts w:ascii="宋体" w:hAnsi="宋体" w:eastAsia="宋体" w:cs="Times New Roman"/>
                <w:sz w:val="24"/>
                <w:szCs w:val="24"/>
              </w:rPr>
            </w:pPr>
          </w:p>
          <w:p>
            <w:pPr>
              <w:widowControl/>
              <w:spacing w:line="560" w:lineRule="exact"/>
              <w:ind w:firstLine="480" w:firstLineChars="200"/>
              <w:rPr>
                <w:rFonts w:ascii="宋体" w:hAnsi="宋体" w:eastAsia="宋体" w:cs="Times New Roman"/>
                <w:sz w:val="24"/>
                <w:szCs w:val="24"/>
              </w:rPr>
            </w:pPr>
          </w:p>
          <w:p>
            <w:pPr>
              <w:widowControl/>
              <w:spacing w:line="560" w:lineRule="exact"/>
              <w:ind w:firstLine="480" w:firstLineChars="200"/>
              <w:rPr>
                <w:rFonts w:ascii="宋体" w:hAnsi="宋体" w:eastAsia="宋体" w:cs="Times New Roman"/>
                <w:sz w:val="24"/>
                <w:szCs w:val="24"/>
              </w:rPr>
            </w:pPr>
          </w:p>
          <w:p>
            <w:pPr>
              <w:widowControl/>
              <w:spacing w:line="560" w:lineRule="exact"/>
              <w:ind w:firstLine="480" w:firstLineChars="200"/>
              <w:rPr>
                <w:rFonts w:ascii="宋体" w:hAnsi="宋体" w:eastAsia="宋体" w:cs="Times New Roman"/>
                <w:sz w:val="24"/>
                <w:szCs w:val="24"/>
              </w:rPr>
            </w:pPr>
          </w:p>
          <w:p>
            <w:pPr>
              <w:widowControl/>
              <w:spacing w:line="560" w:lineRule="exact"/>
              <w:ind w:firstLine="480" w:firstLineChars="200"/>
              <w:rPr>
                <w:rFonts w:ascii="宋体" w:hAnsi="宋体" w:eastAsia="宋体" w:cs="Times New Roman"/>
                <w:sz w:val="24"/>
                <w:szCs w:val="24"/>
              </w:rPr>
            </w:pPr>
          </w:p>
          <w:p>
            <w:pPr>
              <w:widowControl/>
              <w:spacing w:line="560" w:lineRule="exact"/>
              <w:rPr>
                <w:rFonts w:ascii="宋体" w:hAnsi="宋体" w:eastAsia="宋体" w:cs="Times New Roman"/>
                <w:sz w:val="24"/>
                <w:szCs w:val="24"/>
              </w:rPr>
            </w:pPr>
          </w:p>
        </w:tc>
      </w:tr>
    </w:tbl>
    <w:p>
      <w:pPr>
        <w:widowControl/>
        <w:jc w:val="left"/>
        <w:rPr>
          <w:rFonts w:ascii="楷体" w:hAnsi="楷体" w:eastAsia="楷体" w:cs="宋体"/>
          <w:b/>
          <w:kern w:val="0"/>
          <w:sz w:val="32"/>
          <w:szCs w:val="32"/>
        </w:rPr>
      </w:pPr>
      <w:r>
        <w:rPr>
          <w:rFonts w:ascii="楷体" w:hAnsi="楷体" w:eastAsia="楷体" w:cs="宋体"/>
          <w:b/>
          <w:kern w:val="0"/>
          <w:sz w:val="32"/>
          <w:szCs w:val="32"/>
        </w:rPr>
        <w:br w:type="page"/>
      </w:r>
      <w:r>
        <w:rPr>
          <w:rFonts w:hint="eastAsia" w:ascii="楷体" w:hAnsi="楷体" w:eastAsia="楷体" w:cs="宋体"/>
          <w:b/>
          <w:kern w:val="0"/>
          <w:sz w:val="32"/>
          <w:szCs w:val="32"/>
        </w:rPr>
        <w:t>7</w:t>
      </w:r>
      <w:r>
        <w:rPr>
          <w:rFonts w:ascii="楷体" w:hAnsi="楷体" w:eastAsia="楷体" w:cs="宋体"/>
          <w:b/>
          <w:kern w:val="0"/>
          <w:sz w:val="32"/>
          <w:szCs w:val="32"/>
        </w:rPr>
        <w:t>.加强师资队伍和基层教学组织建设的主要举措及成效</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522" w:type="dxa"/>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p>
            <w:pPr>
              <w:widowControl/>
              <w:spacing w:line="480" w:lineRule="exact"/>
              <w:ind w:firstLine="482" w:firstLineChars="200"/>
              <w:rPr>
                <w:rFonts w:ascii="宋体" w:hAnsi="宋体" w:eastAsia="宋体" w:cs="Times New Roman"/>
                <w:b/>
                <w:sz w:val="24"/>
                <w:szCs w:val="24"/>
              </w:rPr>
            </w:pPr>
            <w:r>
              <w:rPr>
                <w:rFonts w:hint="eastAsia" w:ascii="宋体" w:hAnsi="宋体" w:eastAsia="宋体" w:cs="Times New Roman"/>
                <w:b/>
                <w:sz w:val="24"/>
                <w:szCs w:val="24"/>
              </w:rPr>
              <w:t xml:space="preserve">1.师资队伍 </w:t>
            </w:r>
          </w:p>
          <w:p>
            <w:pPr>
              <w:widowControl/>
              <w:spacing w:line="480" w:lineRule="exact"/>
              <w:ind w:firstLine="482" w:firstLineChars="200"/>
              <w:rPr>
                <w:rFonts w:ascii="宋体" w:hAnsi="宋体" w:eastAsia="宋体" w:cs="Times New Roman"/>
                <w:sz w:val="24"/>
                <w:szCs w:val="24"/>
              </w:rPr>
            </w:pPr>
            <w:r>
              <w:rPr>
                <w:rFonts w:hint="eastAsia" w:ascii="宋体" w:hAnsi="宋体" w:eastAsia="宋体" w:cs="Times New Roman"/>
                <w:b/>
                <w:sz w:val="24"/>
                <w:szCs w:val="24"/>
              </w:rPr>
              <w:t>主要举措：</w:t>
            </w:r>
            <w:r>
              <w:rPr>
                <w:rFonts w:hint="eastAsia" w:ascii="宋体" w:hAnsi="宋体" w:eastAsia="宋体" w:cs="Times New Roman"/>
                <w:sz w:val="24"/>
                <w:szCs w:val="24"/>
              </w:rPr>
              <w:t>以引进具有博士学位的师资作为重点，重视现有师资队伍的转型提高；加大学术带头人和中青年骨干教师的培养力度，关心青年教师成长；鼓励教师在职进修、提升学历，专门划拨经费用于支持教师访学和课程进修，近3年共有4人赴复旦大学进行访学和课程进修。</w:t>
            </w:r>
          </w:p>
          <w:p>
            <w:pPr>
              <w:widowControl/>
              <w:spacing w:line="480" w:lineRule="exact"/>
              <w:ind w:firstLine="482" w:firstLineChars="200"/>
              <w:rPr>
                <w:rFonts w:ascii="宋体" w:hAnsi="宋体" w:eastAsia="宋体" w:cs="Times New Roman"/>
                <w:sz w:val="24"/>
                <w:szCs w:val="24"/>
              </w:rPr>
            </w:pPr>
            <w:r>
              <w:rPr>
                <w:rFonts w:hint="eastAsia" w:ascii="宋体" w:hAnsi="宋体" w:eastAsia="宋体" w:cs="Times New Roman"/>
                <w:b/>
                <w:sz w:val="24"/>
                <w:szCs w:val="24"/>
              </w:rPr>
              <w:t>主要成效：</w:t>
            </w:r>
            <w:r>
              <w:rPr>
                <w:rFonts w:hint="eastAsia" w:ascii="宋体" w:hAnsi="宋体" w:eastAsia="宋体" w:cs="Times New Roman"/>
                <w:sz w:val="24"/>
                <w:szCs w:val="24"/>
              </w:rPr>
              <w:t>现有专任教师19人，其中教授7人，副教授5人，博士17人（含在读博士）。其中，甘肃省“教学名师”1人、甘肃省“555创新人才”（第二层次）2人、河西学院“祁连学者”2人、河西学院“祁连学术带头人”1人、河西学院“教学名师”1人。教师高职称、高学历、人才计划比例在学校位居前列。</w:t>
            </w:r>
          </w:p>
          <w:p>
            <w:pPr>
              <w:widowControl/>
              <w:spacing w:line="480" w:lineRule="exact"/>
              <w:ind w:firstLine="482" w:firstLineChars="200"/>
              <w:rPr>
                <w:rFonts w:ascii="宋体" w:hAnsi="宋体" w:eastAsia="宋体" w:cs="Times New Roman"/>
                <w:b/>
                <w:sz w:val="24"/>
                <w:szCs w:val="24"/>
              </w:rPr>
            </w:pPr>
            <w:r>
              <w:rPr>
                <w:rFonts w:hint="eastAsia" w:ascii="宋体" w:hAnsi="宋体" w:eastAsia="宋体" w:cs="Times New Roman"/>
                <w:b/>
                <w:sz w:val="24"/>
                <w:szCs w:val="24"/>
              </w:rPr>
              <w:t>2.基层教学组织建设的主要举措</w:t>
            </w:r>
          </w:p>
          <w:p>
            <w:pPr>
              <w:widowControl/>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第一，以教学督导委员会、教学科研办公室和教研室为教学质量监控主体，通过课前监控、过程监控、结果监控，及时了解学生的学习状况及对教师授课的意见和建议。</w:t>
            </w:r>
          </w:p>
          <w:p>
            <w:pPr>
              <w:widowControl/>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第二，进一步规范教研室活动，以教研室为单位，开展指导青年教师备课、公开教学、教师评学、学生评教等活动，促进教学质量的不断提高，帮助青年教师提升教育教学水平。</w:t>
            </w:r>
          </w:p>
          <w:p>
            <w:pPr>
              <w:widowControl/>
              <w:spacing w:line="480" w:lineRule="exact"/>
              <w:ind w:firstLine="482" w:firstLineChars="200"/>
              <w:rPr>
                <w:rFonts w:ascii="宋体" w:hAnsi="宋体" w:eastAsia="宋体" w:cs="Times New Roman"/>
                <w:b/>
                <w:sz w:val="24"/>
                <w:szCs w:val="24"/>
              </w:rPr>
            </w:pPr>
            <w:r>
              <w:rPr>
                <w:rFonts w:hint="eastAsia" w:ascii="宋体" w:hAnsi="宋体" w:eastAsia="宋体" w:cs="Times New Roman"/>
                <w:b/>
                <w:sz w:val="24"/>
                <w:szCs w:val="24"/>
              </w:rPr>
              <w:t>3.教学组织建设的主要成效</w:t>
            </w:r>
          </w:p>
          <w:p>
            <w:pPr>
              <w:widowControl/>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以教研室建设为抓手，教学团队、创新团队建设取得了积极的成果。历史学专业被确定为省级重点学科，建成“中国古代史”省级教学团队和省级精品课程</w:t>
            </w:r>
            <w:r>
              <w:rPr>
                <w:rFonts w:ascii="宋体" w:hAnsi="宋体" w:eastAsia="宋体" w:cs="Times New Roman"/>
                <w:sz w:val="24"/>
                <w:szCs w:val="24"/>
              </w:rPr>
              <w:t>。</w:t>
            </w:r>
          </w:p>
          <w:p>
            <w:pPr>
              <w:widowControl/>
              <w:spacing w:line="360" w:lineRule="auto"/>
              <w:rPr>
                <w:rFonts w:ascii="方正小标宋_GBK" w:hAnsi="Times New Roman" w:eastAsia="仿宋_GB2312" w:cs="Times New Roman"/>
                <w:b/>
                <w:bCs/>
                <w:szCs w:val="21"/>
              </w:rPr>
            </w:pPr>
          </w:p>
          <w:p>
            <w:pPr>
              <w:widowControl/>
              <w:spacing w:line="360" w:lineRule="auto"/>
              <w:rPr>
                <w:rFonts w:ascii="方正小标宋_GBK" w:hAnsi="Times New Roman" w:eastAsia="仿宋_GB2312" w:cs="Times New Roman"/>
                <w:b/>
                <w:bCs/>
                <w:szCs w:val="21"/>
              </w:rPr>
            </w:pPr>
          </w:p>
          <w:p>
            <w:pPr>
              <w:widowControl/>
              <w:spacing w:line="360" w:lineRule="auto"/>
              <w:rPr>
                <w:rFonts w:ascii="方正小标宋_GBK" w:hAnsi="Times New Roman" w:eastAsia="仿宋_GB2312" w:cs="Times New Roman"/>
                <w:b/>
                <w:bCs/>
                <w:szCs w:val="21"/>
              </w:rPr>
            </w:pPr>
          </w:p>
          <w:p>
            <w:pPr>
              <w:widowControl/>
              <w:spacing w:line="360" w:lineRule="auto"/>
              <w:rPr>
                <w:rFonts w:ascii="方正小标宋_GBK" w:hAnsi="Times New Roman" w:eastAsia="仿宋_GB2312" w:cs="Times New Roman"/>
                <w:b/>
                <w:bCs/>
                <w:szCs w:val="21"/>
              </w:rPr>
            </w:pPr>
          </w:p>
          <w:p>
            <w:pPr>
              <w:widowControl/>
              <w:spacing w:line="360" w:lineRule="auto"/>
              <w:rPr>
                <w:rFonts w:ascii="方正小标宋_GBK" w:hAnsi="Times New Roman" w:eastAsia="仿宋_GB2312" w:cs="Times New Roman"/>
                <w:b/>
                <w:bCs/>
                <w:szCs w:val="21"/>
              </w:rPr>
            </w:pPr>
          </w:p>
          <w:p>
            <w:pPr>
              <w:spacing w:line="0" w:lineRule="atLeast"/>
              <w:jc w:val="left"/>
              <w:rPr>
                <w:rFonts w:ascii="方正小标宋_GBK" w:hAnsi="Times New Roman" w:eastAsia="仿宋_GB2312" w:cs="Times New Roman"/>
                <w:b/>
                <w:bCs/>
                <w:szCs w:val="21"/>
              </w:rPr>
            </w:pPr>
          </w:p>
        </w:tc>
      </w:tr>
    </w:tbl>
    <w:p>
      <w:pPr>
        <w:rPr>
          <w:rFonts w:ascii="楷体" w:hAnsi="楷体" w:eastAsia="楷体" w:cs="宋体"/>
          <w:b/>
          <w:kern w:val="0"/>
          <w:sz w:val="32"/>
          <w:szCs w:val="32"/>
        </w:rPr>
      </w:pPr>
      <w:r>
        <w:rPr>
          <w:rFonts w:hint="eastAsia" w:ascii="楷体" w:hAnsi="楷体" w:eastAsia="楷体" w:cs="宋体"/>
          <w:b/>
          <w:kern w:val="0"/>
          <w:sz w:val="32"/>
          <w:szCs w:val="32"/>
        </w:rPr>
        <w:t>8.加强专业教学质量保障体系建设的主要举措和成效</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522" w:type="dxa"/>
          </w:tcPr>
          <w:p>
            <w:pPr>
              <w:widowControl/>
              <w:spacing w:line="480" w:lineRule="exact"/>
              <w:ind w:firstLine="482" w:firstLineChars="200"/>
              <w:rPr>
                <w:rFonts w:ascii="宋体" w:hAnsi="宋体" w:eastAsia="宋体" w:cs="Times New Roman"/>
                <w:b/>
                <w:sz w:val="24"/>
                <w:szCs w:val="24"/>
              </w:rPr>
            </w:pPr>
            <w:r>
              <w:rPr>
                <w:rFonts w:hint="eastAsia" w:ascii="宋体" w:hAnsi="宋体" w:eastAsia="宋体" w:cs="Times New Roman"/>
                <w:b/>
                <w:sz w:val="24"/>
                <w:szCs w:val="24"/>
              </w:rPr>
              <w:t>1.主要举措</w:t>
            </w:r>
          </w:p>
          <w:p>
            <w:pPr>
              <w:widowControl/>
              <w:spacing w:line="480" w:lineRule="exact"/>
              <w:ind w:firstLine="482" w:firstLineChars="200"/>
              <w:rPr>
                <w:rFonts w:ascii="宋体" w:hAnsi="宋体" w:eastAsia="宋体" w:cs="Times New Roman"/>
                <w:sz w:val="24"/>
                <w:szCs w:val="24"/>
              </w:rPr>
            </w:pPr>
            <w:r>
              <w:rPr>
                <w:rFonts w:hint="eastAsia" w:ascii="宋体" w:hAnsi="宋体" w:eastAsia="宋体" w:cs="Times New Roman"/>
                <w:b/>
                <w:sz w:val="24"/>
                <w:szCs w:val="24"/>
              </w:rPr>
              <w:t>教学质量标准执行：</w:t>
            </w:r>
            <w:r>
              <w:rPr>
                <w:rFonts w:hint="eastAsia" w:ascii="宋体" w:hAnsi="宋体" w:eastAsia="宋体" w:cs="Times New Roman"/>
                <w:sz w:val="24"/>
                <w:szCs w:val="24"/>
              </w:rPr>
              <w:t>学院依据《普通高等学校本科专业教学质量国家标准制订人才培养方案》和教学大纲，以教学督导委员会、教学科研办公室和教研室为教学质量监控主体，通过课前监控、过程监控、结果监控，对影响教学质量的主要方面进行管理。</w:t>
            </w:r>
          </w:p>
          <w:p>
            <w:pPr>
              <w:widowControl/>
              <w:spacing w:line="480" w:lineRule="exact"/>
              <w:ind w:firstLine="482" w:firstLineChars="200"/>
              <w:rPr>
                <w:rFonts w:ascii="宋体" w:hAnsi="宋体" w:eastAsia="宋体" w:cs="Times New Roman"/>
                <w:sz w:val="24"/>
                <w:szCs w:val="24"/>
              </w:rPr>
            </w:pPr>
            <w:r>
              <w:rPr>
                <w:rFonts w:hint="eastAsia" w:ascii="宋体" w:hAnsi="宋体" w:eastAsia="宋体" w:cs="Times New Roman"/>
                <w:b/>
                <w:sz w:val="24"/>
                <w:szCs w:val="24"/>
              </w:rPr>
              <w:t>教学质量管理队伍：</w:t>
            </w:r>
            <w:r>
              <w:rPr>
                <w:rFonts w:hint="eastAsia" w:ascii="宋体" w:hAnsi="宋体" w:eastAsia="宋体" w:cs="Times New Roman"/>
                <w:sz w:val="24"/>
                <w:szCs w:val="24"/>
              </w:rPr>
              <w:t>确立院长为教学质量监控第一责任人，分管副院长牵头实施；分管教学的副院长、教学科研办公室主任负责教学质量保障体系的日常运行，教学质量保障体系的各个环节都有明确的规定。</w:t>
            </w:r>
          </w:p>
          <w:p>
            <w:pPr>
              <w:widowControl/>
              <w:spacing w:line="480" w:lineRule="exact"/>
              <w:ind w:firstLine="482" w:firstLineChars="200"/>
              <w:rPr>
                <w:rFonts w:ascii="宋体" w:hAnsi="宋体" w:eastAsia="宋体" w:cs="Times New Roman"/>
                <w:sz w:val="24"/>
                <w:szCs w:val="24"/>
              </w:rPr>
            </w:pPr>
            <w:r>
              <w:rPr>
                <w:rFonts w:hint="eastAsia" w:ascii="宋体" w:hAnsi="宋体" w:eastAsia="宋体" w:cs="Times New Roman"/>
                <w:b/>
                <w:sz w:val="24"/>
                <w:szCs w:val="24"/>
              </w:rPr>
              <w:t>教学质量评估监控：</w:t>
            </w:r>
            <w:r>
              <w:rPr>
                <w:rFonts w:ascii="宋体" w:hAnsi="宋体" w:eastAsia="宋体" w:cs="Times New Roman"/>
                <w:sz w:val="24"/>
                <w:szCs w:val="24"/>
              </w:rPr>
              <w:t>研究制定《</w:t>
            </w:r>
            <w:r>
              <w:rPr>
                <w:rFonts w:hint="eastAsia" w:ascii="宋体" w:hAnsi="宋体" w:eastAsia="宋体" w:cs="Times New Roman"/>
                <w:sz w:val="24"/>
                <w:szCs w:val="24"/>
              </w:rPr>
              <w:t>历史文化与旅游</w:t>
            </w:r>
            <w:r>
              <w:rPr>
                <w:rFonts w:ascii="宋体" w:hAnsi="宋体" w:eastAsia="宋体" w:cs="Times New Roman"/>
                <w:sz w:val="24"/>
                <w:szCs w:val="24"/>
              </w:rPr>
              <w:t>学院教师教学工作各个环节基本</w:t>
            </w:r>
            <w:r>
              <w:rPr>
                <w:rFonts w:hint="eastAsia" w:ascii="宋体" w:hAnsi="宋体" w:eastAsia="宋体" w:cs="Times New Roman"/>
                <w:sz w:val="24"/>
                <w:szCs w:val="24"/>
              </w:rPr>
              <w:t>流程</w:t>
            </w:r>
            <w:r>
              <w:rPr>
                <w:rFonts w:ascii="宋体" w:hAnsi="宋体" w:eastAsia="宋体" w:cs="Times New Roman"/>
                <w:sz w:val="24"/>
                <w:szCs w:val="24"/>
              </w:rPr>
              <w:t>》</w:t>
            </w:r>
            <w:r>
              <w:rPr>
                <w:rFonts w:hint="eastAsia" w:ascii="宋体" w:hAnsi="宋体" w:eastAsia="宋体" w:cs="Times New Roman"/>
                <w:sz w:val="24"/>
                <w:szCs w:val="24"/>
              </w:rPr>
              <w:t>，每学期除学校组织的评教活动以外，学院还进行教师评教和学生评学活动，课堂教学、实习实训、学年论文和毕业论文、考试等纳入监控范围，教学质量监控实施效果明显。</w:t>
            </w:r>
          </w:p>
          <w:p>
            <w:pPr>
              <w:widowControl/>
              <w:spacing w:line="480" w:lineRule="exact"/>
              <w:ind w:firstLine="482" w:firstLineChars="200"/>
              <w:rPr>
                <w:rFonts w:ascii="宋体" w:hAnsi="宋体" w:eastAsia="宋体" w:cs="Times New Roman"/>
                <w:sz w:val="24"/>
                <w:szCs w:val="24"/>
              </w:rPr>
            </w:pPr>
            <w:r>
              <w:rPr>
                <w:rFonts w:hint="eastAsia" w:ascii="宋体" w:hAnsi="宋体" w:eastAsia="宋体" w:cs="Times New Roman"/>
                <w:b/>
                <w:sz w:val="24"/>
                <w:szCs w:val="24"/>
              </w:rPr>
              <w:t>教学质量信息利用：</w:t>
            </w:r>
            <w:r>
              <w:rPr>
                <w:rFonts w:ascii="宋体" w:hAnsi="宋体" w:eastAsia="宋体" w:cs="Times New Roman"/>
                <w:sz w:val="24"/>
                <w:szCs w:val="24"/>
              </w:rPr>
              <w:t>通过召开教学工作会议、教学工作专题研讨会、教职工会</w:t>
            </w:r>
            <w:r>
              <w:rPr>
                <w:rFonts w:hint="eastAsia" w:ascii="宋体" w:hAnsi="宋体" w:eastAsia="宋体" w:cs="Times New Roman"/>
                <w:sz w:val="24"/>
                <w:szCs w:val="24"/>
              </w:rPr>
              <w:t>议</w:t>
            </w:r>
            <w:r>
              <w:rPr>
                <w:rFonts w:ascii="宋体" w:hAnsi="宋体" w:eastAsia="宋体" w:cs="Times New Roman"/>
                <w:sz w:val="24"/>
                <w:szCs w:val="24"/>
              </w:rPr>
              <w:t>、师生座谈会、在校生</w:t>
            </w:r>
            <w:r>
              <w:rPr>
                <w:rFonts w:hint="eastAsia" w:ascii="宋体" w:hAnsi="宋体" w:eastAsia="宋体" w:cs="Times New Roman"/>
                <w:sz w:val="24"/>
                <w:szCs w:val="24"/>
              </w:rPr>
              <w:t>意见征求会、考研工作促进会</w:t>
            </w:r>
            <w:r>
              <w:rPr>
                <w:rFonts w:ascii="宋体" w:hAnsi="宋体" w:eastAsia="宋体" w:cs="Times New Roman"/>
                <w:sz w:val="24"/>
                <w:szCs w:val="24"/>
              </w:rPr>
              <w:t>等</w:t>
            </w:r>
            <w:r>
              <w:rPr>
                <w:rFonts w:hint="eastAsia" w:ascii="宋体" w:hAnsi="宋体" w:eastAsia="宋体" w:cs="Times New Roman"/>
                <w:sz w:val="24"/>
                <w:szCs w:val="24"/>
              </w:rPr>
              <w:t>，</w:t>
            </w:r>
            <w:r>
              <w:rPr>
                <w:rFonts w:ascii="宋体" w:hAnsi="宋体" w:eastAsia="宋体" w:cs="Times New Roman"/>
                <w:sz w:val="24"/>
                <w:szCs w:val="24"/>
              </w:rPr>
              <w:t>全面采集教学质量信息，</w:t>
            </w:r>
            <w:r>
              <w:rPr>
                <w:rFonts w:hint="eastAsia" w:ascii="宋体" w:hAnsi="宋体" w:eastAsia="宋体" w:cs="Times New Roman"/>
                <w:sz w:val="24"/>
                <w:szCs w:val="24"/>
              </w:rPr>
              <w:t>了解师生对本科教学的诉求，并及时调整改进</w:t>
            </w:r>
            <w:r>
              <w:rPr>
                <w:rFonts w:ascii="宋体" w:hAnsi="宋体" w:eastAsia="宋体" w:cs="Times New Roman"/>
                <w:sz w:val="24"/>
                <w:szCs w:val="24"/>
              </w:rPr>
              <w:t>。</w:t>
            </w:r>
            <w:r>
              <w:rPr>
                <w:rFonts w:hint="eastAsia" w:ascii="宋体" w:hAnsi="宋体" w:eastAsia="宋体" w:cs="Times New Roman"/>
                <w:sz w:val="24"/>
                <w:szCs w:val="24"/>
              </w:rPr>
              <w:t>学院通过院级教学指导委员会、教学督导组和院务会成员的听课和访谈，及时了解学生对教学质量和教学环节的意见，并及时反馈给相关教师。</w:t>
            </w:r>
          </w:p>
          <w:p>
            <w:pPr>
              <w:widowControl/>
              <w:spacing w:line="480" w:lineRule="exact"/>
              <w:ind w:firstLine="482" w:firstLineChars="200"/>
              <w:rPr>
                <w:rFonts w:ascii="宋体" w:hAnsi="宋体" w:eastAsia="宋体" w:cs="Times New Roman"/>
                <w:sz w:val="24"/>
                <w:szCs w:val="24"/>
              </w:rPr>
            </w:pPr>
            <w:r>
              <w:rPr>
                <w:rFonts w:hint="eastAsia" w:ascii="宋体" w:hAnsi="宋体" w:eastAsia="宋体" w:cs="Times New Roman"/>
                <w:b/>
                <w:sz w:val="24"/>
                <w:szCs w:val="24"/>
              </w:rPr>
              <w:t>教学质量改进：</w:t>
            </w:r>
            <w:r>
              <w:rPr>
                <w:rFonts w:hint="eastAsia" w:ascii="宋体" w:hAnsi="宋体" w:eastAsia="宋体" w:cs="Times New Roman"/>
                <w:sz w:val="24"/>
                <w:szCs w:val="24"/>
              </w:rPr>
              <w:t>不断完善管理机构，设置专门人员，形成教学质量全过程的运行、督导、控制、评价的有机整体；严格工作责任制，明确每项工作的目标、责任主体、工作程序以及工作关键环节和时间节点。对征求到的各类教学意见和信息，专门召开会谈进行研究解决。</w:t>
            </w:r>
          </w:p>
          <w:p>
            <w:pPr>
              <w:widowControl/>
              <w:spacing w:line="480" w:lineRule="exact"/>
              <w:ind w:firstLine="482" w:firstLineChars="200"/>
              <w:rPr>
                <w:rFonts w:ascii="宋体" w:hAnsi="宋体" w:eastAsia="宋体" w:cs="Times New Roman"/>
                <w:b/>
                <w:sz w:val="24"/>
                <w:szCs w:val="24"/>
              </w:rPr>
            </w:pPr>
            <w:r>
              <w:rPr>
                <w:rFonts w:hint="eastAsia" w:ascii="宋体" w:hAnsi="宋体" w:eastAsia="宋体" w:cs="Times New Roman"/>
                <w:b/>
                <w:sz w:val="24"/>
                <w:szCs w:val="24"/>
              </w:rPr>
              <w:t>2.主要成效</w:t>
            </w:r>
          </w:p>
          <w:p>
            <w:pPr>
              <w:widowControl/>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经过走访调查，历史学专业毕业生职业道德、专业知识掌握程度及团队精神满意度达到 100%。历史学专业学生在2016年“全国高等师范院校历史学专业本科生教学技能竞赛”中一人获得三等奖，2018年两人获得三等奖</w:t>
            </w:r>
            <w:r>
              <w:rPr>
                <w:rFonts w:ascii="宋体" w:hAnsi="宋体" w:eastAsia="宋体" w:cs="Times New Roman"/>
                <w:sz w:val="24"/>
                <w:szCs w:val="24"/>
              </w:rPr>
              <w:t>。</w:t>
            </w:r>
          </w:p>
          <w:p>
            <w:pPr>
              <w:spacing w:line="0" w:lineRule="atLeast"/>
              <w:jc w:val="left"/>
              <w:rPr>
                <w:rFonts w:ascii="方正小标宋_GBK" w:hAnsi="Times New Roman" w:eastAsia="仿宋_GB2312" w:cs="Times New Roman"/>
                <w:b/>
                <w:bCs/>
                <w:szCs w:val="21"/>
              </w:rPr>
            </w:pPr>
          </w:p>
          <w:p>
            <w:pPr>
              <w:spacing w:line="0" w:lineRule="atLeast"/>
              <w:jc w:val="left"/>
              <w:rPr>
                <w:rFonts w:ascii="方正小标宋_GBK" w:hAnsi="Times New Roman" w:eastAsia="仿宋_GB2312" w:cs="Times New Roman"/>
                <w:b/>
                <w:bCs/>
                <w:szCs w:val="21"/>
              </w:rPr>
            </w:pPr>
          </w:p>
          <w:p>
            <w:pPr>
              <w:spacing w:line="0" w:lineRule="atLeast"/>
              <w:jc w:val="left"/>
              <w:rPr>
                <w:rFonts w:ascii="方正小标宋_GBK" w:hAnsi="Times New Roman" w:eastAsia="仿宋_GB2312" w:cs="Times New Roman"/>
                <w:b/>
                <w:bCs/>
                <w:szCs w:val="21"/>
              </w:rPr>
            </w:pPr>
          </w:p>
        </w:tc>
      </w:tr>
    </w:tbl>
    <w:p>
      <w:pPr>
        <w:rPr>
          <w:rFonts w:ascii="黑体" w:hAnsi="黑体" w:eastAsia="黑体" w:cs="Times New Roman"/>
          <w:sz w:val="36"/>
          <w:szCs w:val="36"/>
        </w:rPr>
      </w:pPr>
      <w:r>
        <w:rPr>
          <w:rFonts w:ascii="楷体" w:hAnsi="楷体" w:eastAsia="楷体" w:cs="宋体"/>
          <w:b/>
          <w:kern w:val="0"/>
          <w:sz w:val="32"/>
          <w:szCs w:val="32"/>
        </w:rPr>
        <w:br w:type="page"/>
      </w:r>
      <w:r>
        <w:rPr>
          <w:rFonts w:hint="eastAsia" w:ascii="楷体" w:hAnsi="楷体" w:eastAsia="楷体" w:cs="宋体"/>
          <w:b/>
          <w:kern w:val="0"/>
          <w:sz w:val="32"/>
          <w:szCs w:val="32"/>
        </w:rPr>
        <w:t>9</w:t>
      </w:r>
      <w:r>
        <w:rPr>
          <w:rFonts w:ascii="楷体" w:hAnsi="楷体" w:eastAsia="楷体" w:cs="宋体"/>
          <w:b/>
          <w:kern w:val="0"/>
          <w:sz w:val="32"/>
          <w:szCs w:val="32"/>
        </w:rPr>
        <w:t>.毕业生培养质量的跟踪调查结果和外部评价</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6" w:hRule="atLeast"/>
        </w:trPr>
        <w:tc>
          <w:tcPr>
            <w:tcW w:w="8522" w:type="dxa"/>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p>
            <w:pPr>
              <w:widowControl/>
              <w:spacing w:line="480" w:lineRule="exact"/>
              <w:ind w:firstLine="482" w:firstLineChars="200"/>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1.跟踪调查结果</w:t>
            </w:r>
          </w:p>
          <w:p>
            <w:pPr>
              <w:widowControl/>
              <w:spacing w:line="5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历史学专业毕业生在专业领域的发展情况良好，深受用人单位的好评。近3年20余人考入四川大学、兰州大学、新疆大学等高校攻读硕士研究生，在河西地区和新疆的教师录用考试及“三支一扶”等考试中成绩突出。</w:t>
            </w:r>
          </w:p>
          <w:p>
            <w:pPr>
              <w:widowControl/>
              <w:spacing w:line="520" w:lineRule="exact"/>
              <w:ind w:firstLine="482" w:firstLineChars="200"/>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2.外部评价</w:t>
            </w:r>
          </w:p>
          <w:p>
            <w:pPr>
              <w:widowControl/>
              <w:spacing w:line="5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用人单位对毕业生质量满意度较高，并给予较高评价。他们普遍认为，毕业生政治觉悟高，思想品德优秀，专业基础扎实，综合素质高，发展潜力大，作风朴实，爱岗敬业，吃苦耐劳，勤奋好学，富有创新精神和较强的社会适应能力，特别在后续的职业发展中后劲十足。在学院进行的河西地区和新疆的就业生跟踪调查中，已有部分学生成为当地学校的骨干教师，为学校的课程建设、课堂教学及学生管理等方面做出了一定贡献。</w:t>
            </w:r>
          </w:p>
          <w:p>
            <w:pPr>
              <w:widowControl/>
              <w:spacing w:line="520" w:lineRule="exact"/>
              <w:ind w:firstLine="480" w:firstLineChars="200"/>
              <w:rPr>
                <w:rFonts w:ascii="宋体" w:hAnsi="宋体" w:eastAsia="宋体" w:cs="宋体"/>
                <w:color w:val="000000"/>
                <w:kern w:val="0"/>
                <w:sz w:val="24"/>
                <w:szCs w:val="24"/>
              </w:rPr>
            </w:pPr>
          </w:p>
          <w:p>
            <w:pPr>
              <w:widowControl/>
              <w:spacing w:line="520" w:lineRule="exact"/>
              <w:ind w:firstLine="480" w:firstLineChars="200"/>
              <w:rPr>
                <w:rFonts w:ascii="宋体" w:hAnsi="宋体" w:eastAsia="宋体" w:cs="宋体"/>
                <w:color w:val="000000"/>
                <w:kern w:val="0"/>
                <w:sz w:val="24"/>
                <w:szCs w:val="24"/>
              </w:rPr>
            </w:pPr>
          </w:p>
          <w:p>
            <w:pPr>
              <w:widowControl/>
              <w:spacing w:line="520" w:lineRule="exact"/>
              <w:ind w:firstLine="480" w:firstLineChars="200"/>
              <w:rPr>
                <w:rFonts w:ascii="宋体" w:hAnsi="宋体" w:eastAsia="宋体" w:cs="宋体"/>
                <w:color w:val="000000"/>
                <w:kern w:val="0"/>
                <w:sz w:val="24"/>
                <w:szCs w:val="24"/>
              </w:rPr>
            </w:pPr>
          </w:p>
          <w:p>
            <w:pPr>
              <w:widowControl/>
              <w:spacing w:line="520" w:lineRule="exact"/>
              <w:ind w:firstLine="480" w:firstLineChars="200"/>
              <w:rPr>
                <w:rFonts w:ascii="宋体" w:hAnsi="宋体" w:eastAsia="宋体" w:cs="宋体"/>
                <w:color w:val="000000"/>
                <w:kern w:val="0"/>
                <w:sz w:val="24"/>
                <w:szCs w:val="24"/>
              </w:rPr>
            </w:pPr>
          </w:p>
          <w:p>
            <w:pPr>
              <w:widowControl/>
              <w:spacing w:line="520" w:lineRule="exact"/>
              <w:ind w:firstLine="480" w:firstLineChars="200"/>
              <w:rPr>
                <w:rFonts w:ascii="宋体" w:hAnsi="宋体" w:eastAsia="宋体" w:cs="宋体"/>
                <w:color w:val="000000"/>
                <w:kern w:val="0"/>
                <w:sz w:val="24"/>
                <w:szCs w:val="24"/>
              </w:rPr>
            </w:pPr>
          </w:p>
          <w:p>
            <w:pPr>
              <w:widowControl/>
              <w:spacing w:line="520" w:lineRule="exact"/>
              <w:ind w:firstLine="480" w:firstLineChars="200"/>
              <w:rPr>
                <w:rFonts w:ascii="宋体" w:hAnsi="宋体" w:eastAsia="宋体" w:cs="宋体"/>
                <w:color w:val="000000"/>
                <w:kern w:val="0"/>
                <w:sz w:val="24"/>
                <w:szCs w:val="24"/>
              </w:rPr>
            </w:pPr>
          </w:p>
          <w:p>
            <w:pPr>
              <w:widowControl/>
              <w:spacing w:line="520" w:lineRule="exact"/>
              <w:ind w:firstLine="480" w:firstLineChars="200"/>
              <w:rPr>
                <w:rFonts w:ascii="宋体" w:hAnsi="宋体" w:eastAsia="宋体" w:cs="宋体"/>
                <w:color w:val="000000"/>
                <w:kern w:val="0"/>
                <w:sz w:val="24"/>
                <w:szCs w:val="24"/>
              </w:rPr>
            </w:pPr>
          </w:p>
          <w:p>
            <w:pPr>
              <w:widowControl/>
              <w:spacing w:line="520" w:lineRule="exact"/>
              <w:ind w:firstLine="480" w:firstLineChars="200"/>
              <w:rPr>
                <w:rFonts w:ascii="宋体" w:hAnsi="宋体" w:eastAsia="宋体" w:cs="宋体"/>
                <w:color w:val="000000"/>
                <w:kern w:val="0"/>
                <w:sz w:val="24"/>
                <w:szCs w:val="24"/>
              </w:rPr>
            </w:pPr>
          </w:p>
          <w:p>
            <w:pPr>
              <w:widowControl/>
              <w:spacing w:line="520" w:lineRule="exact"/>
              <w:ind w:firstLine="480" w:firstLineChars="200"/>
              <w:rPr>
                <w:rFonts w:ascii="宋体" w:hAnsi="宋体" w:eastAsia="宋体" w:cs="宋体"/>
                <w:color w:val="000000"/>
                <w:kern w:val="0"/>
                <w:sz w:val="24"/>
                <w:szCs w:val="24"/>
              </w:rPr>
            </w:pPr>
          </w:p>
          <w:p>
            <w:pPr>
              <w:widowControl/>
              <w:spacing w:line="520" w:lineRule="exact"/>
              <w:ind w:firstLine="480" w:firstLineChars="200"/>
              <w:rPr>
                <w:rFonts w:ascii="宋体" w:hAnsi="宋体" w:eastAsia="宋体" w:cs="宋体"/>
                <w:color w:val="000000"/>
                <w:kern w:val="0"/>
                <w:sz w:val="24"/>
                <w:szCs w:val="24"/>
              </w:rPr>
            </w:pPr>
          </w:p>
          <w:p>
            <w:pPr>
              <w:widowControl/>
              <w:spacing w:line="520" w:lineRule="exact"/>
              <w:ind w:firstLine="480" w:firstLineChars="200"/>
              <w:rPr>
                <w:rFonts w:ascii="宋体" w:hAnsi="宋体" w:eastAsia="宋体" w:cs="宋体"/>
                <w:color w:val="000000"/>
                <w:kern w:val="0"/>
                <w:sz w:val="24"/>
                <w:szCs w:val="24"/>
              </w:rPr>
            </w:pPr>
          </w:p>
          <w:p>
            <w:pPr>
              <w:widowControl/>
              <w:spacing w:line="520" w:lineRule="exact"/>
              <w:ind w:firstLine="480" w:firstLineChars="200"/>
              <w:rPr>
                <w:rFonts w:ascii="宋体" w:hAnsi="宋体" w:eastAsia="宋体" w:cs="宋体"/>
                <w:color w:val="000000"/>
                <w:kern w:val="0"/>
                <w:sz w:val="24"/>
                <w:szCs w:val="24"/>
              </w:rPr>
            </w:pPr>
          </w:p>
          <w:p>
            <w:pPr>
              <w:widowControl/>
              <w:spacing w:line="520" w:lineRule="exact"/>
              <w:ind w:firstLine="480" w:firstLineChars="200"/>
              <w:rPr>
                <w:rFonts w:ascii="宋体" w:hAnsi="宋体" w:eastAsia="宋体" w:cs="宋体"/>
                <w:color w:val="000000"/>
                <w:kern w:val="0"/>
                <w:sz w:val="24"/>
                <w:szCs w:val="24"/>
              </w:rPr>
            </w:pPr>
          </w:p>
          <w:p>
            <w:pPr>
              <w:widowControl/>
              <w:spacing w:line="520" w:lineRule="exact"/>
              <w:rPr>
                <w:rFonts w:ascii="宋体" w:hAnsi="宋体" w:eastAsia="宋体" w:cs="宋体"/>
                <w:color w:val="000000"/>
                <w:kern w:val="0"/>
                <w:sz w:val="24"/>
                <w:szCs w:val="24"/>
              </w:rPr>
            </w:pPr>
          </w:p>
        </w:tc>
      </w:tr>
    </w:tbl>
    <w:p>
      <w:pPr>
        <w:rPr>
          <w:rFonts w:ascii="黑体" w:hAnsi="黑体" w:eastAsia="黑体" w:cs="Times New Roman"/>
          <w:sz w:val="36"/>
          <w:szCs w:val="36"/>
        </w:rPr>
      </w:pPr>
      <w:r>
        <w:rPr>
          <w:rFonts w:hint="eastAsia" w:ascii="黑体" w:hAnsi="黑体" w:eastAsia="黑体" w:cs="宋体"/>
          <w:b/>
          <w:kern w:val="0"/>
          <w:sz w:val="32"/>
          <w:szCs w:val="32"/>
        </w:rPr>
        <w:t>三、</w:t>
      </w:r>
      <w:r>
        <w:rPr>
          <w:rFonts w:ascii="黑体" w:hAnsi="黑体" w:eastAsia="黑体" w:cs="宋体"/>
          <w:b/>
          <w:kern w:val="0"/>
          <w:sz w:val="32"/>
          <w:szCs w:val="32"/>
        </w:rPr>
        <w:t>下一步推进专业建设和改革的主要思路</w:t>
      </w:r>
      <w:r>
        <w:rPr>
          <w:rFonts w:hint="eastAsia" w:ascii="黑体" w:hAnsi="黑体" w:eastAsia="黑体" w:cs="宋体"/>
          <w:b/>
          <w:kern w:val="0"/>
          <w:sz w:val="32"/>
          <w:szCs w:val="32"/>
        </w:rPr>
        <w:t>及</w:t>
      </w:r>
      <w:r>
        <w:rPr>
          <w:rFonts w:ascii="黑体" w:hAnsi="黑体" w:eastAsia="黑体" w:cs="宋体"/>
          <w:b/>
          <w:kern w:val="0"/>
          <w:sz w:val="32"/>
          <w:szCs w:val="32"/>
        </w:rPr>
        <w:t>举措</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9" w:hRule="atLeast"/>
        </w:trPr>
        <w:tc>
          <w:tcPr>
            <w:tcW w:w="8522" w:type="dxa"/>
          </w:tcPr>
          <w:p>
            <w:pPr>
              <w:widowControl/>
              <w:spacing w:line="520" w:lineRule="exact"/>
              <w:ind w:firstLine="420" w:firstLineChars="200"/>
              <w:rPr>
                <w:rFonts w:ascii="仿宋" w:hAnsi="仿宋" w:eastAsia="仿宋" w:cs="Times New Roman"/>
                <w:bCs/>
                <w:szCs w:val="21"/>
              </w:rPr>
            </w:pPr>
            <w:bookmarkStart w:id="0" w:name="_Hlk2001382"/>
            <w:r>
              <w:rPr>
                <w:rFonts w:hint="eastAsia" w:ascii="仿宋" w:hAnsi="仿宋" w:eastAsia="仿宋" w:cs="Times New Roman"/>
                <w:bCs/>
                <w:szCs w:val="21"/>
              </w:rPr>
              <w:t>（限</w:t>
            </w:r>
            <w:r>
              <w:rPr>
                <w:rFonts w:ascii="仿宋" w:hAnsi="仿宋" w:eastAsia="仿宋" w:cs="Times New Roman"/>
                <w:bCs/>
                <w:szCs w:val="21"/>
              </w:rPr>
              <w:t>800字以内</w:t>
            </w:r>
            <w:r>
              <w:rPr>
                <w:rFonts w:hint="eastAsia" w:ascii="仿宋" w:hAnsi="仿宋" w:eastAsia="仿宋" w:cs="Times New Roman"/>
                <w:bCs/>
                <w:szCs w:val="21"/>
              </w:rPr>
              <w:t>）</w:t>
            </w:r>
          </w:p>
          <w:p>
            <w:pPr>
              <w:widowControl/>
              <w:spacing w:line="520" w:lineRule="exact"/>
              <w:ind w:firstLine="482" w:firstLineChars="200"/>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1.主要思路</w:t>
            </w:r>
          </w:p>
          <w:p>
            <w:pPr>
              <w:widowControl/>
              <w:spacing w:line="520" w:lineRule="exac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进一步明确办学定位，坚持以学科和专业建设为龙头，积极稳妥地调整和优化专业结构，以师资队伍建设为核心，以应用型人才培养为根本，着力提升教育教学质量；以课程建设与科学研究为基础，坚持以教学为中心，切实以科研推动教学水平的提升；以服务社会为支撑，致力于建成特色鲜明、竞争力较强、校内文科一流的专业，努力建设适应河西及周边地区文化教育发展需要的历史专业人才培养基地。</w:t>
            </w:r>
          </w:p>
          <w:p>
            <w:pPr>
              <w:widowControl/>
              <w:spacing w:line="520" w:lineRule="exact"/>
              <w:ind w:firstLine="482" w:firstLineChars="200"/>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2.主要</w:t>
            </w:r>
            <w:r>
              <w:rPr>
                <w:rFonts w:ascii="宋体" w:hAnsi="宋体" w:eastAsia="宋体" w:cs="宋体"/>
                <w:b/>
                <w:color w:val="000000"/>
                <w:kern w:val="0"/>
                <w:sz w:val="24"/>
                <w:szCs w:val="24"/>
              </w:rPr>
              <w:t>举措</w:t>
            </w:r>
          </w:p>
          <w:p>
            <w:pPr>
              <w:widowControl/>
              <w:spacing w:line="520" w:lineRule="exact"/>
              <w:ind w:firstLine="482" w:firstLineChars="200"/>
              <w:rPr>
                <w:rFonts w:ascii="宋体" w:hAnsi="宋体" w:eastAsia="宋体" w:cs="宋体"/>
                <w:color w:val="000000"/>
                <w:kern w:val="0"/>
                <w:sz w:val="24"/>
                <w:szCs w:val="24"/>
              </w:rPr>
            </w:pPr>
            <w:r>
              <w:rPr>
                <w:rFonts w:hint="eastAsia" w:ascii="宋体" w:hAnsi="宋体" w:eastAsia="宋体" w:cs="宋体"/>
                <w:b/>
                <w:color w:val="000000"/>
                <w:kern w:val="0"/>
                <w:sz w:val="24"/>
                <w:szCs w:val="24"/>
              </w:rPr>
              <w:t>师资队伍：</w:t>
            </w:r>
            <w:r>
              <w:rPr>
                <w:rFonts w:hint="eastAsia" w:ascii="宋体" w:hAnsi="宋体" w:eastAsia="宋体" w:cs="宋体"/>
                <w:color w:val="000000"/>
                <w:kern w:val="0"/>
                <w:sz w:val="24"/>
                <w:szCs w:val="24"/>
              </w:rPr>
              <w:t>通过引进和吸纳高职称、高学历教师，增加教师数量，降低教师授课的工作量，派出更多的教师访学或进行课程进修。鼓励或组织教师参加切合实际情况和专业针对性强的教育技术研修、教学方法改革等教研活动。鼓励或组织青年教师进行新媒体技术，尤其是网页制作、课件制作、微课录制等技术的系统培训，以满足新媒体教学的需要。加强专任教师队伍建设，加强与地方相关部门的对接与联系，真正成为地方经济社会发展的智力支撑基地。</w:t>
            </w:r>
          </w:p>
          <w:p>
            <w:pPr>
              <w:widowControl/>
              <w:spacing w:line="520" w:lineRule="exact"/>
              <w:ind w:firstLine="482" w:firstLineChars="200"/>
              <w:rPr>
                <w:rFonts w:ascii="宋体" w:hAnsi="宋体" w:eastAsia="宋体" w:cs="宋体"/>
                <w:color w:val="000000"/>
                <w:kern w:val="0"/>
                <w:sz w:val="24"/>
                <w:szCs w:val="24"/>
              </w:rPr>
            </w:pPr>
            <w:r>
              <w:rPr>
                <w:rFonts w:hint="eastAsia" w:ascii="宋体" w:hAnsi="宋体" w:eastAsia="宋体" w:cs="宋体"/>
                <w:b/>
                <w:color w:val="000000"/>
                <w:kern w:val="0"/>
                <w:sz w:val="24"/>
                <w:szCs w:val="24"/>
              </w:rPr>
              <w:t>教学资源：</w:t>
            </w:r>
            <w:r>
              <w:rPr>
                <w:rFonts w:hint="eastAsia" w:ascii="宋体" w:hAnsi="宋体" w:eastAsia="宋体" w:cs="宋体"/>
                <w:color w:val="000000"/>
                <w:kern w:val="0"/>
                <w:sz w:val="24"/>
                <w:szCs w:val="24"/>
              </w:rPr>
              <w:t>增加课程建设的经费投入，鼓励教师积极参与课程建设，力争开设多门特色课程，多出精品课程；通过争取学校的教学专项经费，吸纳已有的优质社会资源，在课程建设中落实“共建育人”的思路和规划，提高青年教师参与课程的力度。优化课程的选择空间，课程建设要更加符合专业发展的要求和经济社会发展的需要；加大引进网络优质课程资源的建设力度，借助外力，改革课程教学的育人模式，以课程建设促进青年教师成长。增强学生的学习能力，通过布置课外必读书目、小论文、组织课堂讨论等强化学生的课程消化能力。分类加大课程建设的规划和措施。加强历史学专业精品课程、特色课程建设。</w:t>
            </w:r>
          </w:p>
          <w:p>
            <w:pPr>
              <w:widowControl/>
              <w:spacing w:line="520" w:lineRule="exact"/>
              <w:ind w:firstLine="482" w:firstLineChars="200"/>
              <w:rPr>
                <w:rFonts w:ascii="宋体" w:hAnsi="宋体" w:eastAsia="宋体" w:cs="宋体"/>
                <w:color w:val="000000"/>
                <w:kern w:val="0"/>
                <w:sz w:val="24"/>
                <w:szCs w:val="24"/>
              </w:rPr>
            </w:pPr>
            <w:r>
              <w:rPr>
                <w:rFonts w:hint="eastAsia" w:ascii="宋体" w:hAnsi="宋体" w:eastAsia="宋体" w:cs="宋体"/>
                <w:b/>
                <w:color w:val="000000"/>
                <w:kern w:val="0"/>
                <w:sz w:val="24"/>
                <w:szCs w:val="24"/>
              </w:rPr>
              <w:t>培养过程：</w:t>
            </w:r>
            <w:r>
              <w:rPr>
                <w:rFonts w:hint="eastAsia" w:ascii="宋体" w:hAnsi="宋体" w:eastAsia="宋体" w:cs="宋体"/>
                <w:color w:val="000000"/>
                <w:kern w:val="0"/>
                <w:sz w:val="24"/>
                <w:szCs w:val="24"/>
              </w:rPr>
              <w:t>督促教师进行课堂教学方式的改革，探索阅读提问式、对分课堂、网络课堂、微课等教学方式，积极申报各级教学改革项目。进一步优化人才培养方案，试行模块化教学、差别化培养，试点小班教学。</w:t>
            </w:r>
          </w:p>
          <w:p>
            <w:pPr>
              <w:widowControl/>
              <w:spacing w:line="520" w:lineRule="exact"/>
              <w:ind w:firstLine="482" w:firstLineChars="200"/>
              <w:rPr>
                <w:rFonts w:ascii="宋体" w:hAnsi="宋体" w:eastAsia="宋体" w:cs="宋体"/>
                <w:color w:val="000000"/>
                <w:kern w:val="0"/>
                <w:sz w:val="24"/>
                <w:szCs w:val="24"/>
              </w:rPr>
            </w:pPr>
            <w:r>
              <w:rPr>
                <w:rFonts w:hint="eastAsia" w:ascii="宋体" w:hAnsi="宋体" w:eastAsia="宋体" w:cs="宋体"/>
                <w:b/>
                <w:color w:val="000000"/>
                <w:kern w:val="0"/>
                <w:sz w:val="24"/>
                <w:szCs w:val="24"/>
              </w:rPr>
              <w:t>学生发展；</w:t>
            </w:r>
            <w:r>
              <w:rPr>
                <w:rFonts w:hint="eastAsia" w:ascii="宋体" w:hAnsi="宋体" w:eastAsia="宋体" w:cs="宋体"/>
                <w:color w:val="000000"/>
                <w:kern w:val="0"/>
                <w:sz w:val="24"/>
                <w:szCs w:val="24"/>
              </w:rPr>
              <w:t>不断提高办学实力，扩大专业影响力。进一步加强专业内涵建设，树立专业的品牌声誉。加大招生宣传力度，吸引优秀生源。加强就业深度追踪，通过了解毕业生的发展状况，在教学和实践中进行针对性的改进教学。继续挖掘校友资源，继续依托校友资源，实现高质量就业。开展生涯规划方面的培训，训练学生的各种技能，提高学生的就业竞争力。</w:t>
            </w:r>
          </w:p>
          <w:p>
            <w:pPr>
              <w:widowControl/>
              <w:spacing w:line="520" w:lineRule="exact"/>
              <w:ind w:firstLine="482" w:firstLineChars="200"/>
              <w:rPr>
                <w:rFonts w:ascii="宋体" w:hAnsi="宋体" w:eastAsia="宋体" w:cs="宋体"/>
                <w:color w:val="000000"/>
                <w:kern w:val="0"/>
                <w:sz w:val="24"/>
                <w:szCs w:val="24"/>
              </w:rPr>
            </w:pPr>
            <w:r>
              <w:rPr>
                <w:rFonts w:hint="eastAsia" w:ascii="宋体" w:hAnsi="宋体" w:eastAsia="宋体" w:cs="宋体"/>
                <w:b/>
                <w:color w:val="000000"/>
                <w:kern w:val="0"/>
                <w:sz w:val="24"/>
                <w:szCs w:val="24"/>
              </w:rPr>
              <w:t>质量保障:</w:t>
            </w:r>
            <w:r>
              <w:rPr>
                <w:rFonts w:hint="eastAsia" w:ascii="宋体" w:hAnsi="宋体" w:eastAsia="宋体" w:cs="宋体"/>
                <w:color w:val="000000"/>
                <w:kern w:val="0"/>
                <w:sz w:val="24"/>
                <w:szCs w:val="24"/>
              </w:rPr>
              <w:t>完善试卷质量保障体系，规范命题、阅卷、分析等环节要求，加强指导与审核，提高课程考核的规范性。增加试卷分析环节，从教师教学的角度去反思成绩，并提出与落实改进对策。加强教学督导，以便及时了解教学动态，尤其是加强对青年教师教学活动的指导。同时，及时反馈学生的评教结果，以便任课教师及时改正。定期广泛征求意见，了解师生及用人单位的需求，及时改进人才培养方案与教育教学活动，进一步提高人才培养质量。严格教学管理，从教师备课和上课抓起，要求每一位任课教师必须有书面讲稿。进一步完善教学评价与督导机制，切实做好学生评教、同行评教、教师评学和教研室集体听课评课等工作，及时对评教反映的问题进行总结和反馈。通过听课、评课和青年教师导师制，落实教师的培训、在职访学进修、攻读博士学位等制度，注重发挥老教师的传、帮、带作用，促进青年教师教学水平的提高。</w:t>
            </w:r>
          </w:p>
          <w:p>
            <w:pPr>
              <w:widowControl/>
              <w:spacing w:line="520" w:lineRule="exact"/>
              <w:ind w:firstLine="482" w:firstLineChars="200"/>
              <w:rPr>
                <w:rFonts w:ascii="宋体" w:hAnsi="宋体" w:eastAsia="宋体" w:cs="宋体"/>
                <w:color w:val="000000"/>
                <w:kern w:val="0"/>
                <w:sz w:val="24"/>
                <w:szCs w:val="24"/>
              </w:rPr>
            </w:pPr>
            <w:r>
              <w:rPr>
                <w:rFonts w:hint="eastAsia" w:ascii="宋体" w:hAnsi="宋体" w:eastAsia="宋体" w:cs="宋体"/>
                <w:b/>
                <w:color w:val="000000"/>
                <w:kern w:val="0"/>
                <w:sz w:val="24"/>
                <w:szCs w:val="24"/>
              </w:rPr>
              <w:t>特色凝练:</w:t>
            </w:r>
            <w:r>
              <w:rPr>
                <w:rFonts w:hint="eastAsia" w:ascii="宋体" w:hAnsi="宋体" w:eastAsia="宋体" w:cs="宋体"/>
                <w:color w:val="000000"/>
                <w:kern w:val="0"/>
                <w:sz w:val="24"/>
                <w:szCs w:val="24"/>
              </w:rPr>
              <w:t>发挥历史学科与旅游学科配合优势，形成对口归类的专业人才培养方案，反映在人才培养方案的课程设置上，重要体现在培养方案和课程设置与课堂教学上。培养目标上，综合考虑历史专业的人才培养的优势与就业方向，也考虑甘肃作为丝绸之路的腹地与华夏文明创新区的特色进行特色人才培养。在人才培养满足本科教学要求的前提下立足丝绸之路与河西走廊的特色优势，最大可能寻找特色与优势形成培养既有自己文化规格又有学校特色的专业人才。</w:t>
            </w:r>
          </w:p>
          <w:p>
            <w:pPr>
              <w:widowControl/>
              <w:spacing w:line="520" w:lineRule="exact"/>
              <w:ind w:firstLine="480" w:firstLineChars="200"/>
              <w:rPr>
                <w:rFonts w:ascii="宋体" w:hAnsi="宋体" w:eastAsia="宋体" w:cs="宋体"/>
                <w:color w:val="000000"/>
                <w:kern w:val="0"/>
                <w:sz w:val="24"/>
                <w:szCs w:val="24"/>
              </w:rPr>
            </w:pPr>
            <w:bookmarkStart w:id="1" w:name="_GoBack"/>
            <w:bookmarkEnd w:id="1"/>
          </w:p>
          <w:p>
            <w:pPr>
              <w:widowControl/>
              <w:spacing w:line="520" w:lineRule="exact"/>
              <w:ind w:firstLine="480" w:firstLineChars="200"/>
              <w:rPr>
                <w:rFonts w:ascii="宋体" w:hAnsi="宋体" w:eastAsia="宋体" w:cs="宋体"/>
                <w:color w:val="000000"/>
                <w:kern w:val="0"/>
                <w:sz w:val="24"/>
                <w:szCs w:val="24"/>
              </w:rPr>
            </w:pPr>
          </w:p>
          <w:p>
            <w:pPr>
              <w:widowControl/>
              <w:spacing w:line="520" w:lineRule="exact"/>
              <w:ind w:firstLine="422" w:firstLineChars="200"/>
              <w:rPr>
                <w:rFonts w:ascii="方正小标宋_GBK" w:hAnsi="Times New Roman" w:eastAsia="仿宋_GB2312" w:cs="Times New Roman"/>
                <w:b/>
                <w:bCs/>
                <w:szCs w:val="21"/>
              </w:rPr>
            </w:pPr>
          </w:p>
        </w:tc>
      </w:tr>
      <w:bookmarkEnd w:id="0"/>
    </w:tbl>
    <w:p>
      <w:pPr>
        <w:spacing w:line="20" w:lineRule="exact"/>
        <w:rPr>
          <w:rFonts w:ascii="仿宋_GB2312" w:hAnsi="Calibri" w:eastAsia="仿宋_GB2312" w:cs="经典平黑简"/>
          <w:sz w:val="10"/>
          <w:szCs w:val="10"/>
        </w:rPr>
      </w:pPr>
    </w:p>
    <w:p/>
    <w:sectPr>
      <w:footerReference r:id="rId3" w:type="default"/>
      <w:pgSz w:w="11906" w:h="16838"/>
      <w:pgMar w:top="1440" w:right="1800" w:bottom="1440" w:left="1800" w:header="851" w:footer="992" w:gutter="0"/>
      <w:pgNumType w:start="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sdt>
                <w:sdtPr>
                  <w:id w:val="-322282558"/>
                </w:sdtPr>
                <w:sdtContent>
                  <w:p>
                    <w:pPr>
                      <w:pStyle w:val="3"/>
                      <w:jc w:val="center"/>
                    </w:pPr>
                    <w:r>
                      <w:fldChar w:fldCharType="begin"/>
                    </w:r>
                    <w:r>
                      <w:instrText xml:space="preserve">PAGE   \* MERGEFORMAT</w:instrText>
                    </w:r>
                    <w:r>
                      <w:fldChar w:fldCharType="separate"/>
                    </w:r>
                    <w:r>
                      <w:rPr>
                        <w:lang w:val="zh-CN"/>
                      </w:rPr>
                      <w:t>15</w:t>
                    </w:r>
                    <w:r>
                      <w:fldChar w:fldCharType="end"/>
                    </w:r>
                  </w:p>
                </w:sdtContent>
              </w:sdt>
              <w:p/>
            </w:txbxContent>
          </v:textbox>
        </v:shape>
      </w:pict>
    </w:r>
  </w:p>
  <w:p>
    <w:pPr>
      <w:pStyle w:val="3"/>
      <w:tabs>
        <w:tab w:val="left" w:pos="4942"/>
        <w:tab w:val="clear" w:pos="4153"/>
      </w:tabs>
    </w:pP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D1F55"/>
    <w:rsid w:val="00225482"/>
    <w:rsid w:val="00583739"/>
    <w:rsid w:val="00613227"/>
    <w:rsid w:val="007A72E3"/>
    <w:rsid w:val="007F695B"/>
    <w:rsid w:val="00954516"/>
    <w:rsid w:val="009D08E2"/>
    <w:rsid w:val="009E5C53"/>
    <w:rsid w:val="00B034FB"/>
    <w:rsid w:val="00B75F8D"/>
    <w:rsid w:val="00BA1EB6"/>
    <w:rsid w:val="00BD1F55"/>
    <w:rsid w:val="00CE072E"/>
    <w:rsid w:val="00D652F9"/>
    <w:rsid w:val="00E23646"/>
    <w:rsid w:val="00E375C4"/>
    <w:rsid w:val="00F742E3"/>
    <w:rsid w:val="00FF1FFB"/>
    <w:rsid w:val="18155804"/>
    <w:rsid w:val="24EB40B6"/>
    <w:rsid w:val="28020AF0"/>
    <w:rsid w:val="35AC5CF8"/>
    <w:rsid w:val="49081F36"/>
    <w:rsid w:val="50EC24A8"/>
    <w:rsid w:val="56143105"/>
    <w:rsid w:val="58CD6E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页脚 Char"/>
    <w:basedOn w:val="6"/>
    <w:link w:val="3"/>
    <w:qFormat/>
    <w:uiPriority w:val="99"/>
    <w:rPr>
      <w:sz w:val="18"/>
      <w:szCs w:val="18"/>
    </w:rPr>
  </w:style>
  <w:style w:type="character" w:customStyle="1" w:styleId="8">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A698E7-C5EC-4055-A726-E055DE3DBAC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18</Pages>
  <Words>1266</Words>
  <Characters>7222</Characters>
  <Lines>60</Lines>
  <Paragraphs>16</Paragraphs>
  <TotalTime>40</TotalTime>
  <ScaleCrop>false</ScaleCrop>
  <LinksUpToDate>false</LinksUpToDate>
  <CharactersWithSpaces>8472</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2019-06-03T08:59:00Z</dcterms:created>
  <dc:creator>USER</dc:creator>
  <cp:lastModifiedBy>雨停入海</cp:lastModifiedBy>
  <cp:lastPrinted>2019-06-04T09:01:00Z</cp:lastPrinted>
  <dcterms:modified xsi:type="dcterms:W3CDTF">2019-06-06T01:25:18Z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